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hd w:fill="FFFFFF" w:val="clear"/>
        <w:spacing w:after="0" w:before="0" w:line="100" w:lineRule="atLeast"/>
        <w:ind w:hanging="0" w:left="0" w:right="0"/>
        <w:jc w:val="right"/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>ПРОЕКТ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center"/>
      </w:pPr>
      <w:r>
        <w:rPr>
          <w:rFonts w:ascii="Times New Roman" w:hAnsi="Times New Roman"/>
          <w:sz w:val="28"/>
          <w:szCs w:val="28"/>
        </w:rPr>
        <w:t>УКАЗ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center"/>
      </w:pPr>
      <w:r>
        <w:rPr>
          <w:rFonts w:ascii="Times New Roman" w:hAnsi="Times New Roman"/>
          <w:sz w:val="28"/>
          <w:szCs w:val="28"/>
        </w:rPr>
        <w:t>ГУБЕРНАТОРА  ПСКОВСКОЙ ОБЛАСТИ</w:t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>
          <w:rFonts w:ascii="Times New Roman" w:hAnsi="Times New Roman"/>
          <w:sz w:val="28"/>
          <w:szCs w:val="28"/>
        </w:rPr>
        <w:t>от ____________ № __________</w:t>
      </w:r>
    </w:p>
    <w:p>
      <w:pPr>
        <w:pStyle w:val="style25"/>
        <w:shd w:fill="FFFFFF" w:val="clear"/>
        <w:spacing w:after="0" w:before="0" w:line="100" w:lineRule="atLeast"/>
        <w:ind w:hanging="0" w:left="0" w:right="0"/>
        <w:jc w:val="center"/>
      </w:pPr>
      <w:r>
        <w:rPr/>
      </w:r>
    </w:p>
    <w:p>
      <w:pPr>
        <w:pStyle w:val="style25"/>
        <w:shd w:fill="FFFFFF" w:val="clear"/>
        <w:spacing w:after="0" w:before="0" w:line="100" w:lineRule="atLeast"/>
        <w:ind w:hanging="0" w:left="0" w:right="0"/>
        <w:jc w:val="center"/>
      </w:pPr>
      <w:r>
        <w:rPr/>
      </w:r>
    </w:p>
    <w:p>
      <w:pPr>
        <w:pStyle w:val="style25"/>
        <w:shd w:fill="FFFFFF" w:val="clear"/>
        <w:spacing w:after="0" w:before="0" w:line="100" w:lineRule="atLeast"/>
        <w:ind w:hanging="0" w:left="0" w:right="0"/>
        <w:jc w:val="center"/>
      </w:pPr>
      <w:r>
        <w:rPr>
          <w:rFonts w:ascii="Times New Roman" w:cs="Times New Roman" w:hAnsi="Times New Roman"/>
          <w:b w:val="false"/>
          <w:sz w:val="28"/>
          <w:szCs w:val="28"/>
        </w:rPr>
        <w:t xml:space="preserve">О внесении изменений в Административный регламент исполнения Государственным комитетом Псковской области по природопользованию и охране окружающей среды государственной функции по подготовке, организации и проведению аукционов по продаже права на заключение договоров аренды лесных участков, находящихся в государственной собственности, или права на заключение договора купли-продажи лесных насаждений  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hAnsi="Times New Roman"/>
          <w:sz w:val="28"/>
          <w:szCs w:val="28"/>
          <w:u w:val="none"/>
        </w:rPr>
        <w:tab/>
      </w:r>
      <w:r>
        <w:rPr>
          <w:rFonts w:ascii="Times New Roman" w:hAnsi="Times New Roman"/>
          <w:color w:val="000000"/>
          <w:sz w:val="28"/>
          <w:szCs w:val="28"/>
          <w:u w:val="none"/>
        </w:rPr>
        <w:t xml:space="preserve">На основании статьи 46.1 Устава Псковской области, статьи 8.1 Закона области от 19 февраля 2002 г. № 174-ОЗ «О системе органов исполнительной власти Псковской области» </w:t>
      </w:r>
      <w:r>
        <w:rPr>
          <w:rFonts w:ascii="Times New Roman" w:hAnsi="Times New Roman"/>
          <w:sz w:val="28"/>
          <w:szCs w:val="28"/>
          <w:u w:val="none"/>
        </w:rPr>
        <w:t>с, в соответствии со ст. 79 Лесного кодекса Российской Федерации постановляю</w:t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style25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cs="Times New Roman" w:hAnsi="Times New Roman"/>
          <w:b w:val="false"/>
          <w:sz w:val="28"/>
          <w:szCs w:val="28"/>
        </w:rPr>
        <w:tab/>
        <w:t>1. Внести в Административный регламент исполнения Государственным комитетом Псковской области по природопользованию и охране окружающей среды государственной функции по подготовке, организации и проведению аукционов по продаже права на заключение договоров аренды лесных участков, находящихся в государственной собственности, или права на заключение договора купли-продажи лесных насаждений следующие изменения: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hAnsi="Times New Roman"/>
          <w:sz w:val="28"/>
          <w:szCs w:val="28"/>
        </w:rPr>
        <w:tab/>
        <w:t>1.1. в пункте 2.5 цифру «81» заменить цифрой «51»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1.2. в пункте 3.3 слова «в течение 1 рабочего дня со дня» заменить словом «после»;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1.3. в пункте 3.4 слово «шестьдесят» заменить словом «тридцать»;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 абзац второй пункта 3.13 дополнить предложениями «Техническое размещение нескольких заявок одного заявителя по разным лотам допускается на одном бумажном носителе. Оплата задатков по каждому лоту оформляется отдельными платежными документами.»;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1.5. в пункте 3.16 цифру «2» заменить цифрой «1»;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1.6. приложения № 2, № 3 изложить в следующей редакции:</w:t>
      </w:r>
    </w:p>
    <w:tbl>
      <w:tblPr>
        <w:jc w:val="left"/>
        <w:tblInd w:type="dxa" w:w="-118"/>
        <w:tblBorders/>
      </w:tblPr>
      <w:tblGrid>
        <w:gridCol w:w="3063"/>
        <w:gridCol w:w="6631"/>
      </w:tblGrid>
      <w:tr>
        <w:trPr>
          <w:trHeight w:hRule="atLeast" w:val="54"/>
          <w:cantSplit w:val="false"/>
        </w:trPr>
        <w:tc>
          <w:tcPr>
            <w:tcW w:type="dxa" w:w="306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200" w:before="0"/>
              <w:jc w:val="both"/>
            </w:pPr>
            <w:r>
              <w:rPr/>
            </w:r>
          </w:p>
        </w:tc>
        <w:tc>
          <w:tcPr>
            <w:tcW w:type="dxa" w:w="663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shd w:fill="FFFFFF" w:val="clear"/>
              <w:spacing w:after="0" w:before="0" w:line="100" w:lineRule="atLeast"/>
              <w:ind w:hanging="0" w:left="0" w:right="0"/>
              <w:jc w:val="both"/>
            </w:pPr>
            <w:r>
              <w:rPr>
                <w:rFonts w:ascii="Times New Roman" w:eastAsia="Courier New" w:hAnsi="Times New Roman"/>
                <w:color w:val="000000"/>
                <w:sz w:val="28"/>
                <w:szCs w:val="28"/>
                <w:lang w:eastAsia="ru-RU"/>
              </w:rPr>
              <w:t xml:space="preserve">                        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Courier New" w:hAnsi="Times New Roman"/>
                <w:color w:val="000000"/>
                <w:sz w:val="28"/>
                <w:szCs w:val="28"/>
                <w:lang w:eastAsia="ru-RU"/>
              </w:rPr>
              <w:t>Приложение № 2</w:t>
              <w:br/>
              <w:t>к административному регламенту Государственного комитета Псковской области по природопользованию и охране окружающей среды по исполнению государственной функции по подготовке, организации и проведению аукционов по продаже права на заключение договоров аренды лесных участков, находящихся в государственной собственности, или договоров купли-продажи лесных насаждений</w:t>
            </w:r>
          </w:p>
        </w:tc>
      </w:tr>
    </w:tbl>
    <w:p>
      <w:pPr>
        <w:pStyle w:val="style21"/>
      </w:pPr>
      <w:r>
        <w:rPr/>
      </w:r>
    </w:p>
    <w:tbl>
      <w:tblPr>
        <w:jc w:val="left"/>
        <w:tblInd w:type="dxa" w:w="-129"/>
        <w:tblBorders/>
      </w:tblPr>
      <w:tblGrid>
        <w:gridCol w:w="5142"/>
        <w:gridCol w:w="4563"/>
      </w:tblGrid>
      <w:tr>
        <w:trPr>
          <w:cantSplit w:val="false"/>
        </w:trPr>
        <w:tc>
          <w:tcPr>
            <w:tcW w:type="dxa" w:w="514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                   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юридического лица или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Ф.И.О. Индивидуального предпринимателя)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(адрес, номер контактного телефона, факса, адрес электронной почты)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ИНН_______________________________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р/с_________________________________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банка)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БИК________________________________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к/с_________________________________</w:t>
            </w:r>
          </w:p>
        </w:tc>
        <w:tc>
          <w:tcPr>
            <w:tcW w:type="dxa" w:w="456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В Государственный комитет Псковской области по природопользованию и охране окружающей среды</w:t>
            </w:r>
          </w:p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</w:tr>
    </w:tbl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center"/>
      </w:pPr>
      <w:r>
        <w:rPr/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center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Заявка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Прошу принять заявку на участие в аукционе(ах) по продаже права на заключение договора(ов) аренды лесных участков, находящихся в государственной собственности, который(ые) состоится(состоятся) «___»__________20__г. по следующему(им) предмету(ам) аукциона(ов):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/>
      </w:r>
    </w:p>
    <w:tbl>
      <w:tblPr>
        <w:jc w:val="left"/>
        <w:tblInd w:type="dxa" w:w="-108"/>
        <w:tblBorders>
          <w:top w:color="000001" w:space="0" w:sz="2" w:val="single"/>
          <w:left w:color="000001" w:space="0" w:sz="2" w:val="single"/>
          <w:bottom w:color="000001" w:space="0" w:sz="2" w:val="single"/>
        </w:tblBorders>
      </w:tblPr>
      <w:tblGrid>
        <w:gridCol w:w="1210"/>
        <w:gridCol w:w="1210"/>
        <w:gridCol w:w="1209"/>
        <w:gridCol w:w="1212"/>
        <w:gridCol w:w="1211"/>
        <w:gridCol w:w="1208"/>
        <w:gridCol w:w="1211"/>
        <w:gridCol w:w="1212"/>
      </w:tblGrid>
      <w:tr>
        <w:trPr>
          <w:cantSplit w:val="false"/>
        </w:trPr>
        <w:tc>
          <w:tcPr>
            <w:tcW w:type="dxa" w:w="1210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Месторасположение</w:t>
            </w:r>
          </w:p>
        </w:tc>
        <w:tc>
          <w:tcPr>
            <w:tcW w:type="dxa" w:w="1210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Лесничество</w:t>
            </w:r>
          </w:p>
        </w:tc>
        <w:tc>
          <w:tcPr>
            <w:tcW w:type="dxa" w:w="1209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квартала</w:t>
            </w:r>
          </w:p>
        </w:tc>
        <w:tc>
          <w:tcPr>
            <w:tcW w:type="dxa" w:w="121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Площадь, Га</w:t>
            </w:r>
          </w:p>
        </w:tc>
        <w:tc>
          <w:tcPr>
            <w:tcW w:type="dxa" w:w="1211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Хозяйство</w:t>
            </w:r>
          </w:p>
        </w:tc>
        <w:tc>
          <w:tcPr>
            <w:tcW w:type="dxa" w:w="1208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Объем заготовки лесных ресурсов,   кбм</w:t>
            </w:r>
          </w:p>
        </w:tc>
        <w:tc>
          <w:tcPr>
            <w:tcW w:type="dxa" w:w="1211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Начальная цена руб.</w:t>
            </w:r>
          </w:p>
        </w:tc>
        <w:tc>
          <w:tcPr>
            <w:tcW w:type="dxa" w:w="121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Сумма задатка руб.</w:t>
            </w:r>
          </w:p>
        </w:tc>
      </w:tr>
      <w:tr>
        <w:trPr>
          <w:cantSplit w:val="false"/>
        </w:trPr>
        <w:tc>
          <w:tcPr>
            <w:tcW w:type="dxa" w:w="1210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10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09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12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11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0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11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1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</w:tr>
    </w:tbl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уведомить о допуске к участию а аукционе следующим способом:____________________________________________________________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/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Приложения: 1) платежный документ, подтверждающий внесения задатка (по каждому лоту отдельно);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выписка с банковских счетов заявителя, подтверждающая факт перечисления суммы задатка(ов) на счета организатора аукциона, а также факт списания указанной суммы со счета заявителя в полном объеме.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/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Руководитель юридического лица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 ФИО индивидуального предпринимателя                     ___________________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ab/>
        <w:tab/>
        <w:tab/>
        <w:tab/>
        <w:tab/>
        <w:tab/>
        <w:tab/>
        <w:tab/>
        <w:tab/>
        <w:tab/>
        <w:tab/>
        <w:t>(подпись)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«___»__________20__г. 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/>
      </w:r>
    </w:p>
    <w:tbl>
      <w:tblPr>
        <w:jc w:val="left"/>
        <w:tblInd w:type="dxa" w:w="-118"/>
        <w:tblBorders/>
      </w:tblPr>
      <w:tblGrid>
        <w:gridCol w:w="3063"/>
        <w:gridCol w:w="6631"/>
      </w:tblGrid>
      <w:tr>
        <w:trPr>
          <w:trHeight w:hRule="atLeast" w:val="54"/>
          <w:cantSplit w:val="false"/>
        </w:trPr>
        <w:tc>
          <w:tcPr>
            <w:tcW w:type="dxa" w:w="306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200" w:before="0"/>
              <w:jc w:val="both"/>
            </w:pPr>
            <w:r>
              <w:rPr/>
            </w:r>
          </w:p>
        </w:tc>
        <w:tc>
          <w:tcPr>
            <w:tcW w:type="dxa" w:w="663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shd w:fill="FFFFFF" w:val="clear"/>
              <w:spacing w:after="0" w:before="0" w:line="100" w:lineRule="atLeast"/>
              <w:ind w:hanging="0" w:left="0" w:right="0"/>
              <w:jc w:val="both"/>
            </w:pPr>
            <w:r>
              <w:rPr>
                <w:rFonts w:ascii="Times New Roman" w:eastAsia="Courier New" w:hAnsi="Times New Roman"/>
                <w:color w:val="000000"/>
                <w:sz w:val="28"/>
                <w:szCs w:val="28"/>
                <w:lang w:eastAsia="ru-RU"/>
              </w:rPr>
              <w:t xml:space="preserve">                        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Courier New" w:hAnsi="Times New Roman"/>
                <w:color w:val="000000"/>
                <w:sz w:val="28"/>
                <w:szCs w:val="28"/>
                <w:lang w:eastAsia="ru-RU"/>
              </w:rPr>
              <w:t>Приложение № 3</w:t>
              <w:br/>
              <w:t>к административному регламенту Государственного комитета Псковской области по природопользованию и охране окружающей среды по исполнению государственной функции по подготовке, организации и проведению аукционов по продаже права на заключение договоров аренды лесных участков, находящихся в государственной собственности, или договоров купли-продажи лесных насаждений</w:t>
            </w:r>
          </w:p>
        </w:tc>
      </w:tr>
    </w:tbl>
    <w:p>
      <w:pPr>
        <w:pStyle w:val="style21"/>
      </w:pPr>
      <w:r>
        <w:rPr/>
      </w:r>
    </w:p>
    <w:tbl>
      <w:tblPr>
        <w:jc w:val="left"/>
        <w:tblInd w:type="dxa" w:w="-129"/>
        <w:tblBorders/>
      </w:tblPr>
      <w:tblGrid>
        <w:gridCol w:w="5142"/>
        <w:gridCol w:w="4563"/>
      </w:tblGrid>
      <w:tr>
        <w:trPr>
          <w:cantSplit w:val="false"/>
        </w:trPr>
        <w:tc>
          <w:tcPr>
            <w:tcW w:type="dxa" w:w="514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                   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юридического лица или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Ф.И.О. Индивидуального предпринимателя)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(адрес, номер контактного телефона, факса, адрес электронной почты)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ИНН_______________________________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р/с_________________________________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банка)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БИК________________________________</w:t>
            </w:r>
          </w:p>
          <w:p>
            <w:pPr>
              <w:pStyle w:val="style27"/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к/с_________________________________</w:t>
            </w:r>
          </w:p>
        </w:tc>
        <w:tc>
          <w:tcPr>
            <w:tcW w:type="dxa" w:w="456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В Государственный комитет Псковской области по природопользованию и охране окружающей среды</w:t>
            </w:r>
          </w:p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</w:tr>
    </w:tbl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center"/>
      </w:pPr>
      <w:r>
        <w:rPr/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center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Заявка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Прошу принять заявку на участие в аукционе(ах) по продаже права на заключение договора(ов) купли-продажи лесных насаждений, расположенных на землях, находящихся в государственной собственности, который(ые) состоится(состоятся) «___»__________20__г. по следующему(им) предмету(ам) аукциона(ов):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/>
      </w:r>
    </w:p>
    <w:tbl>
      <w:tblPr>
        <w:jc w:val="left"/>
        <w:tblInd w:type="dxa" w:w="-108"/>
        <w:tblBorders>
          <w:top w:color="000001" w:space="0" w:sz="2" w:val="single"/>
          <w:left w:color="000001" w:space="0" w:sz="2" w:val="single"/>
          <w:bottom w:color="000001" w:space="0" w:sz="2" w:val="single"/>
        </w:tblBorders>
      </w:tblPr>
      <w:tblGrid>
        <w:gridCol w:w="1210"/>
        <w:gridCol w:w="1210"/>
        <w:gridCol w:w="1209"/>
        <w:gridCol w:w="1212"/>
        <w:gridCol w:w="1211"/>
        <w:gridCol w:w="1208"/>
        <w:gridCol w:w="1211"/>
        <w:gridCol w:w="1212"/>
      </w:tblGrid>
      <w:tr>
        <w:trPr>
          <w:cantSplit w:val="false"/>
        </w:trPr>
        <w:tc>
          <w:tcPr>
            <w:tcW w:type="dxa" w:w="1210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Месторасположение</w:t>
            </w:r>
          </w:p>
        </w:tc>
        <w:tc>
          <w:tcPr>
            <w:tcW w:type="dxa" w:w="1210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Лесничество</w:t>
            </w:r>
          </w:p>
        </w:tc>
        <w:tc>
          <w:tcPr>
            <w:tcW w:type="dxa" w:w="1209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квартала</w:t>
            </w:r>
          </w:p>
        </w:tc>
        <w:tc>
          <w:tcPr>
            <w:tcW w:type="dxa" w:w="121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Площадь, Га</w:t>
            </w:r>
          </w:p>
        </w:tc>
        <w:tc>
          <w:tcPr>
            <w:tcW w:type="dxa" w:w="1211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Хозяйство</w:t>
            </w:r>
          </w:p>
        </w:tc>
        <w:tc>
          <w:tcPr>
            <w:tcW w:type="dxa" w:w="1208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Объем заготовки лесных ресурсов,   кбм</w:t>
            </w:r>
          </w:p>
        </w:tc>
        <w:tc>
          <w:tcPr>
            <w:tcW w:type="dxa" w:w="1211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Начальная цена руб.</w:t>
            </w:r>
          </w:p>
        </w:tc>
        <w:tc>
          <w:tcPr>
            <w:tcW w:type="dxa" w:w="121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uppressAutoHyphens w:val="false"/>
              <w:spacing w:after="0" w:before="0" w:line="10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Сумма задатка руб.</w:t>
            </w:r>
          </w:p>
        </w:tc>
      </w:tr>
      <w:tr>
        <w:trPr>
          <w:cantSplit w:val="false"/>
        </w:trPr>
        <w:tc>
          <w:tcPr>
            <w:tcW w:type="dxa" w:w="1210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10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09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12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11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0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11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  <w:tc>
          <w:tcPr>
            <w:tcW w:type="dxa" w:w="121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  <w:jc w:val="both"/>
            </w:pPr>
            <w:r>
              <w:rPr/>
            </w:r>
          </w:p>
        </w:tc>
      </w:tr>
    </w:tbl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уведомить о допуске к участию а аукционе следующим способом:____________________________________________________________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/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Приложения: 1) платежный документ, подтверждающий внесения задатка (по каждому лоту отдельно);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выписка с банковских счетов заявителя, подтверждающая факт перечисления суммы задатка(ов) на счета организатора аукциона, а также факт списания указанной суммы со счета заявителя в полном объеме.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/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Руководитель юридического лица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 ФИО индивидуального предпринимателя                     ___________________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ab/>
        <w:tab/>
        <w:tab/>
        <w:tab/>
        <w:tab/>
        <w:tab/>
        <w:tab/>
        <w:tab/>
        <w:tab/>
        <w:tab/>
        <w:tab/>
        <w:t>(подпись)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«___»__________20__г.» </w:t>
      </w:r>
    </w:p>
    <w:p>
      <w:pPr>
        <w:pStyle w:val="style0"/>
        <w:widowControl w:val="false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hAnsi="Times New Roman"/>
          <w:sz w:val="28"/>
          <w:szCs w:val="28"/>
        </w:rPr>
        <w:tab/>
        <w:t>2. Настоящий указ вступает в силу со дня его официального опубликования.</w:t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>
          <w:rFonts w:ascii="Times New Roman" w:hAnsi="Times New Roman"/>
          <w:sz w:val="28"/>
          <w:szCs w:val="28"/>
        </w:rPr>
        <w:t>Губернатор области                                                                                   А.Турчак</w:t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center"/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center"/>
      </w:pPr>
      <w:r>
        <w:rPr>
          <w:rFonts w:ascii="Times New Roman" w:hAnsi="Times New Roman"/>
          <w:sz w:val="28"/>
          <w:szCs w:val="28"/>
        </w:rPr>
        <w:t>К ПРОЕКТУ УКАЗА ГУБЕРНАТОРА ОБЛАСТИ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center"/>
      </w:pPr>
      <w:r>
        <w:rPr/>
      </w:r>
    </w:p>
    <w:p>
      <w:pPr>
        <w:pStyle w:val="style25"/>
        <w:shd w:fill="FFFFFF" w:val="clear"/>
        <w:spacing w:after="0" w:before="0" w:line="100" w:lineRule="atLeast"/>
        <w:ind w:hanging="0" w:left="0" w:right="0"/>
        <w:jc w:val="center"/>
      </w:pPr>
      <w:r>
        <w:rPr>
          <w:rFonts w:ascii="Times New Roman" w:cs="Times New Roman;Times New Roman" w:hAnsi="Times New Roman"/>
          <w:sz w:val="28"/>
          <w:szCs w:val="28"/>
        </w:rPr>
        <w:t>«</w:t>
      </w:r>
      <w:r>
        <w:rPr>
          <w:rFonts w:ascii="Times New Roman" w:cs="Times New Roman;Times New Roman" w:hAnsi="Times New Roman"/>
          <w:b w:val="false"/>
          <w:sz w:val="28"/>
          <w:szCs w:val="28"/>
        </w:rPr>
        <w:t>О внесении изменений в Административный регламент исполнения Государственным комитетом Псковской области по природопользованию и охране окружающей среды государственной функции по подготовке, организации и проведению аукционов по продаже права на заключение договоров аренды лесных участков, находящихся в государственной собственности, или права на заключение договора купли-продажи лесных насаждений, утвержденный указом Губернатора области</w:t>
      </w:r>
      <w:r>
        <w:rPr>
          <w:rFonts w:ascii="Times New Roman" w:cs="Times New Roman;Times New Roman" w:hAnsi="Times New Roman"/>
          <w:sz w:val="28"/>
          <w:szCs w:val="28"/>
        </w:rPr>
        <w:t xml:space="preserve"> 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center"/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от 30 января 2012 г. № 2-УГ</w:t>
      </w:r>
      <w:r>
        <w:rPr>
          <w:rFonts w:ascii="Times New Roman" w:hAnsi="Times New Roman"/>
          <w:sz w:val="28"/>
          <w:szCs w:val="28"/>
        </w:rPr>
        <w:t>»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center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both"/>
      </w:pPr>
      <w:r>
        <w:rPr>
          <w:rFonts w:ascii="Times New Roman" w:hAnsi="Times New Roman"/>
          <w:sz w:val="28"/>
          <w:szCs w:val="28"/>
        </w:rPr>
        <w:tab/>
        <w:t>Пунктом 1.1, 1.3 настоящего Проекта, административный регламент приводится в соответствие с Федеральным Законом от 21 декабря 2013 года № 360-ФЗ, а именно сокращается время со дня опубликования извещения об аукционе до дня проведения аукциона по продаже права на заключение договора аренды лесного участка.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both"/>
      </w:pPr>
      <w:r>
        <w:rPr>
          <w:rStyle w:val="style19"/>
          <w:rFonts w:ascii="Times New Roman" w:hAnsi="Times New Roman"/>
          <w:sz w:val="28"/>
          <w:szCs w:val="28"/>
        </w:rPr>
        <w:tab/>
        <w:t xml:space="preserve">Пунктом </w:t>
      </w:r>
      <w:r>
        <w:rPr>
          <w:rFonts w:ascii="Times New Roman" w:hAnsi="Times New Roman"/>
          <w:sz w:val="28"/>
          <w:szCs w:val="28"/>
        </w:rPr>
        <w:t>1.4 настоящего Проекта предусматривается возможность подачи нескольких заявок по разным лотам на участие в аукционе на одном бумажном носителе. Данное изменение обусловлено тем, что при подаче заявки на участие в аукционе сразу по нескольким лотам, в соответствии с действующей редакцией Административного регламента, Заявитель должен оформить отдельно заявку по каждому лоту, с приложением к каждой заявке платежного документа и выписки из банка о списании указанной суммы со счета. Также в соответствии с требованиями Административного регламента сотруднику Комитета необходимо в отношении каждой заявки провести регистрацию, оформить соглашение о задатке, сформировать опись документов, направит запрос о предоставлении сведений из ЕГРЮЛ либо ЕГРИП, что существенно забюрокрачивает процедуру организации и подготовки аукциона</w:t>
      </w:r>
      <w:r>
        <w:rPr>
          <w:rStyle w:val="style19"/>
          <w:rFonts w:ascii="Times New Roman" w:hAnsi="Times New Roman"/>
          <w:sz w:val="28"/>
          <w:szCs w:val="28"/>
        </w:rPr>
        <w:t>.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both"/>
      </w:pPr>
      <w:r>
        <w:rPr>
          <w:rStyle w:val="style19"/>
          <w:rFonts w:ascii="Times New Roman" w:hAnsi="Times New Roman"/>
          <w:sz w:val="28"/>
          <w:szCs w:val="28"/>
        </w:rPr>
        <w:tab/>
        <w:t>Пункт 1.5 настоящего Проекта сокращает срок направления межведомственного запроса в ИФНС до одного дня, чем устраняет противоречие пункта 3.16 и пункта 3.17 Административного регламента, в части срока направления межведомственного запроса и подписания протокола приема заявок, так как срок направления межведомственного запроса может превышать срок подписания протокола.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both"/>
      </w:pPr>
      <w:r>
        <w:rPr>
          <w:rStyle w:val="style19"/>
          <w:rFonts w:ascii="Times New Roman" w:hAnsi="Times New Roman"/>
          <w:sz w:val="28"/>
          <w:szCs w:val="28"/>
        </w:rPr>
        <w:t xml:space="preserve"> </w:t>
      </w:r>
    </w:p>
    <w:p>
      <w:pPr>
        <w:pStyle w:val="style0"/>
        <w:shd w:fill="FFFFFF" w:val="clear"/>
        <w:spacing w:after="0" w:before="0" w:line="100" w:lineRule="atLeast"/>
        <w:ind w:hanging="0" w:left="0" w:right="0"/>
        <w:jc w:val="both"/>
      </w:pPr>
      <w:r>
        <w:rPr>
          <w:rStyle w:val="style19"/>
          <w:rFonts w:ascii="Times New Roman" w:hAnsi="Times New Roman"/>
          <w:sz w:val="28"/>
          <w:szCs w:val="28"/>
        </w:rPr>
        <w:t xml:space="preserve">Председатель комитета </w:t>
        <w:tab/>
        <w:tab/>
        <w:tab/>
        <w:tab/>
        <w:tab/>
        <w:tab/>
        <w:tab/>
        <w:t xml:space="preserve">  Н.И. Вдовина</w:t>
      </w:r>
    </w:p>
    <w:sectPr>
      <w:type w:val="nextPage"/>
      <w:pgSz w:h="16838" w:w="11906"/>
      <w:pgMar w:bottom="1099" w:footer="0" w:gutter="0" w:header="0" w:left="1371" w:right="850" w:top="996"/>
      <w:pgNumType w:fmt="decimal"/>
      <w:formProt w:val="false"/>
      <w:textDirection w:val="lrTb"/>
      <w:docGrid w:charSpace="12288" w:linePitch="28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overflowPunct w:val="false"/>
      <w:spacing w:after="200" w:before="0" w:line="276" w:lineRule="auto"/>
    </w:pPr>
    <w:rPr>
      <w:rFonts w:ascii="Calibri" w:cs="Times New Roman" w:eastAsia="Calibri" w:hAnsi="Calibri"/>
      <w:color w:val="00000A"/>
      <w:sz w:val="22"/>
      <w:szCs w:val="22"/>
      <w:lang w:bidi="ar-SA" w:eastAsia="en-US" w:val="ru-RU"/>
    </w:rPr>
  </w:style>
  <w:style w:styleId="style2" w:type="paragraph">
    <w:name w:val="Заголовок 2"/>
    <w:basedOn w:val="style20"/>
    <w:next w:val="style21"/>
    <w:pPr>
      <w:numPr>
        <w:ilvl w:val="1"/>
        <w:numId w:val="1"/>
      </w:numPr>
      <w:outlineLvl w:val="1"/>
    </w:pPr>
    <w:rPr>
      <w:b/>
      <w:bCs/>
      <w:i/>
      <w:iCs/>
      <w:sz w:val="28"/>
      <w:szCs w:val="28"/>
    </w:rPr>
  </w:style>
  <w:style w:styleId="style15" w:type="character">
    <w:name w:val="Default Paragraph Font"/>
    <w:next w:val="style15"/>
    <w:rPr/>
  </w:style>
  <w:style w:styleId="style16" w:type="character">
    <w:name w:val="Интернет-ссылка"/>
    <w:next w:val="style16"/>
    <w:rPr>
      <w:rFonts w:cs="Times New Roman"/>
      <w:color w:val="0000FF"/>
      <w:u w:val="single"/>
      <w:lang w:bidi="ru-RU" w:eastAsia="ru-RU" w:val="ru-RU"/>
    </w:rPr>
  </w:style>
  <w:style w:styleId="style17" w:type="character">
    <w:name w:val="Body Text Char"/>
    <w:next w:val="style17"/>
    <w:rPr>
      <w:rFonts w:cs="Times New Roman"/>
      <w:lang w:eastAsia="en-US"/>
    </w:rPr>
  </w:style>
  <w:style w:styleId="style18" w:type="character">
    <w:name w:val="Основной текст Знак"/>
    <w:next w:val="style18"/>
    <w:rPr>
      <w:rFonts w:ascii="Arial" w:cs="Mangal" w:eastAsia="SimSun" w:hAnsi="Arial"/>
      <w:sz w:val="24"/>
      <w:szCs w:val="24"/>
      <w:lang w:bidi="hi-IN" w:eastAsia="hi-IN" w:val="ru-RU"/>
    </w:rPr>
  </w:style>
  <w:style w:styleId="style19" w:type="character">
    <w:name w:val="comment"/>
    <w:next w:val="style19"/>
    <w:rPr/>
  </w:style>
  <w:style w:styleId="style20" w:type="paragraph">
    <w:name w:val="Заголовок"/>
    <w:basedOn w:val="style0"/>
    <w:next w:val="style21"/>
    <w:pPr>
      <w:keepNext/>
      <w:spacing w:after="120" w:before="240"/>
    </w:pPr>
    <w:rPr>
      <w:rFonts w:ascii="Arial" w:cs="Lohit Hindi" w:eastAsia="Droid Sans Fallback" w:hAnsi="Arial"/>
      <w:sz w:val="28"/>
      <w:szCs w:val="28"/>
    </w:rPr>
  </w:style>
  <w:style w:styleId="style21" w:type="paragraph">
    <w:name w:val="Основной текст"/>
    <w:basedOn w:val="style0"/>
    <w:next w:val="style21"/>
    <w:pPr>
      <w:widowControl w:val="false"/>
      <w:suppressAutoHyphens w:val="true"/>
      <w:spacing w:after="120" w:before="0" w:line="100" w:lineRule="atLeast"/>
    </w:pPr>
    <w:rPr>
      <w:rFonts w:ascii="Arial" w:cs="Mangal" w:eastAsia="SimSun" w:hAnsi="Arial"/>
      <w:sz w:val="20"/>
      <w:szCs w:val="24"/>
      <w:lang w:bidi="hi-IN" w:eastAsia="hi-IN"/>
    </w:rPr>
  </w:style>
  <w:style w:styleId="style22" w:type="paragraph">
    <w:name w:val="Список"/>
    <w:basedOn w:val="style21"/>
    <w:next w:val="style22"/>
    <w:pPr/>
    <w:rPr>
      <w:rFonts w:cs="Lohit Hindi"/>
    </w:rPr>
  </w:style>
  <w:style w:styleId="style23" w:type="paragraph">
    <w:name w:val="Название"/>
    <w:basedOn w:val="style0"/>
    <w:next w:val="style23"/>
    <w:pPr>
      <w:suppressLineNumbers/>
      <w:spacing w:after="120" w:before="120"/>
    </w:pPr>
    <w:rPr>
      <w:rFonts w:cs="Lohit Hindi"/>
      <w:i/>
      <w:iCs/>
      <w:sz w:val="24"/>
      <w:szCs w:val="24"/>
    </w:rPr>
  </w:style>
  <w:style w:styleId="style24" w:type="paragraph">
    <w:name w:val="Указатель"/>
    <w:basedOn w:val="style0"/>
    <w:next w:val="style24"/>
    <w:pPr>
      <w:suppressLineNumbers/>
    </w:pPr>
    <w:rPr>
      <w:rFonts w:cs="Lohit Hindi"/>
    </w:rPr>
  </w:style>
  <w:style w:styleId="style25" w:type="paragraph">
    <w:name w:val="ConsPlusTitle"/>
    <w:next w:val="style25"/>
    <w:pPr>
      <w:widowControl/>
      <w:tabs>
        <w:tab w:leader="none" w:pos="708" w:val="left"/>
      </w:tabs>
      <w:suppressAutoHyphens w:val="true"/>
      <w:overflowPunct w:val="false"/>
    </w:pPr>
    <w:rPr>
      <w:rFonts w:ascii="Calibri" w:cs="Calibri" w:eastAsia="Calibri" w:hAnsi="Calibri"/>
      <w:b/>
      <w:bCs/>
      <w:color w:val="00000A"/>
      <w:sz w:val="22"/>
      <w:szCs w:val="22"/>
      <w:lang w:bidi="ar-SA" w:eastAsia="en-US" w:val="ru-RU"/>
    </w:rPr>
  </w:style>
  <w:style w:styleId="style26" w:type="paragraph">
    <w:name w:val="List Paragraph"/>
    <w:basedOn w:val="style0"/>
    <w:next w:val="style26"/>
    <w:pPr>
      <w:spacing w:after="0" w:before="0"/>
      <w:ind w:hanging="0" w:left="720" w:right="0"/>
    </w:pPr>
    <w:rPr/>
  </w:style>
  <w:style w:styleId="style27" w:type="paragraph">
    <w:name w:val="Содержимое таблицы"/>
    <w:basedOn w:val="style0"/>
    <w:next w:val="style27"/>
    <w:pPr>
      <w:suppressLineNumbers/>
    </w:pPr>
    <w:rPr/>
  </w:style>
  <w:style w:styleId="style28" w:type="paragraph">
    <w:name w:val="Заголовок таблицы"/>
    <w:basedOn w:val="style27"/>
    <w:next w:val="style28"/>
    <w:pPr>
      <w:suppressLineNumbers/>
      <w:jc w:val="center"/>
    </w:pPr>
    <w:rPr>
      <w:b/>
      <w:bCs/>
    </w:rPr>
  </w:style>
  <w:style w:styleId="style29" w:type="paragraph">
    <w:name w:val="ConsPlusNonformat"/>
    <w:next w:val="style29"/>
    <w:pPr>
      <w:widowControl w:val="false"/>
      <w:tabs>
        <w:tab w:leader="none" w:pos="709" w:val="left"/>
      </w:tabs>
      <w:suppressAutoHyphens w:val="true"/>
      <w:overflowPunct w:val="false"/>
    </w:pPr>
    <w:rPr>
      <w:rFonts w:ascii="Courier New" w:cs="Courier New" w:eastAsia="Arial" w:hAnsi="Courier New"/>
      <w:color w:val="00000A"/>
      <w:sz w:val="20"/>
      <w:szCs w:val="20"/>
      <w:lang w:bidi="ar-SA" w:eastAsia="zh-CN" w:val="ru-RU"/>
    </w:rPr>
  </w:style>
  <w:style w:styleId="style30" w:type="paragraph">
    <w:name w:val="ConsPlusCell"/>
    <w:next w:val="style30"/>
    <w:pPr>
      <w:widowControl w:val="false"/>
      <w:tabs>
        <w:tab w:leader="none" w:pos="709" w:val="left"/>
      </w:tabs>
      <w:suppressAutoHyphens w:val="true"/>
      <w:overflowPunct w:val="false"/>
    </w:pPr>
    <w:rPr>
      <w:rFonts w:ascii="Arial" w:cs="Arial" w:eastAsia="Arial" w:hAnsi="Arial"/>
      <w:color w:val="00000A"/>
      <w:sz w:val="20"/>
      <w:szCs w:val="20"/>
      <w:lang w:bidi="ar-SA" w:eastAsia="zh-CN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LibreOffice/3.5$Linux_X86_64 LibreOffice_project/350m1$Build-2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2014-12-01T14:08:00.00Z</dcterms:created>
  <dc:creator>Крученко Ирина викторовна</dc:creator>
  <cp:lastPrinted>2014-12-01T14:07:00.00Z</cp:lastPrinted>
  <dcterms:modified xsi:type="dcterms:W3CDTF">2014-12-09T16:23:29.00Z</dcterms:modified>
  <cp:revision>4</cp:revision>
</cp:coreProperties>
</file>