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media/image2.wmf" ContentType="image/x-wmf"/>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onsPlusTitle"/>
        <w:numPr>
          <w:ilvl w:val="0"/>
          <w:numId w:val="0"/>
        </w:numPr>
        <w:jc w:val="center"/>
        <w:outlineLvl w:val="0"/>
        <w:rPr/>
      </w:pPr>
      <w:r>
        <w:rPr/>
        <w:drawing>
          <wp:inline distT="0" distB="0" distL="19050" distR="0">
            <wp:extent cx="800100" cy="1028700"/>
            <wp:effectExtent l="0" t="0" r="0" b="0"/>
            <wp:docPr id="1" name="Рисунок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3" descr=""/>
                    <pic:cNvPicPr>
                      <a:picLocks noChangeAspect="1" noChangeArrowheads="1"/>
                    </pic:cNvPicPr>
                  </pic:nvPicPr>
                  <pic:blipFill>
                    <a:blip r:embed="rId2"/>
                    <a:stretch>
                      <a:fillRect/>
                    </a:stretch>
                  </pic:blipFill>
                  <pic:spPr bwMode="auto">
                    <a:xfrm>
                      <a:off x="0" y="0"/>
                      <a:ext cx="800100" cy="1028700"/>
                    </a:xfrm>
                    <a:prstGeom prst="rect">
                      <a:avLst/>
                    </a:prstGeom>
                  </pic:spPr>
                </pic:pic>
              </a:graphicData>
            </a:graphic>
          </wp:inline>
        </w:drawing>
      </w:r>
    </w:p>
    <w:p>
      <w:pPr>
        <w:pStyle w:val="ConsPlusTitle"/>
        <w:numPr>
          <w:ilvl w:val="0"/>
          <w:numId w:val="0"/>
        </w:numPr>
        <w:jc w:val="center"/>
        <w:outlineLvl w:val="0"/>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jc w:val="center"/>
        <w:outlineLvl w:val="0"/>
        <w:rPr>
          <w:rFonts w:ascii="Times New Roman" w:hAnsi="Times New Roman" w:cs="Times New Roman"/>
          <w:sz w:val="28"/>
          <w:szCs w:val="28"/>
        </w:rPr>
      </w:pPr>
      <w:r>
        <w:rPr>
          <w:rFonts w:cs="Times New Roman" w:ascii="Times New Roman" w:hAnsi="Times New Roman"/>
          <w:sz w:val="28"/>
          <w:szCs w:val="28"/>
        </w:rPr>
        <w:t xml:space="preserve">КОМИТЕТ ПО ПРИРОДНЫМ РЕСУРСАМ И ЭКОЛОГИИ </w:t>
      </w:r>
    </w:p>
    <w:p>
      <w:pPr>
        <w:pStyle w:val="ConsPlusTitle"/>
        <w:numPr>
          <w:ilvl w:val="0"/>
          <w:numId w:val="0"/>
        </w:numPr>
        <w:jc w:val="center"/>
        <w:outlineLvl w:val="0"/>
        <w:rPr>
          <w:rFonts w:ascii="Times New Roman" w:hAnsi="Times New Roman" w:cs="Times New Roman"/>
          <w:sz w:val="28"/>
          <w:szCs w:val="28"/>
        </w:rPr>
      </w:pPr>
      <w:r>
        <w:rPr>
          <w:rFonts w:cs="Times New Roman" w:ascii="Times New Roman" w:hAnsi="Times New Roman"/>
          <w:sz w:val="28"/>
          <w:szCs w:val="28"/>
        </w:rPr>
        <w:t>ПСКОВСКОЙ ОБЛАСТИ</w:t>
      </w:r>
    </w:p>
    <w:p>
      <w:pPr>
        <w:pStyle w:val="ConsPlusTitle"/>
        <w:jc w:val="center"/>
        <w:rPr>
          <w:rFonts w:ascii="Times New Roman" w:hAnsi="Times New Roman" w:cs="Times New Roman"/>
          <w:sz w:val="28"/>
          <w:szCs w:val="28"/>
        </w:rPr>
      </w:pPr>
      <w:r>
        <w:rPr>
          <w:rFonts w:cs="Times New Roman" w:ascii="Times New Roman" w:hAnsi="Times New Roman"/>
          <w:sz w:val="28"/>
          <w:szCs w:val="28"/>
        </w:rPr>
      </w:r>
    </w:p>
    <w:p>
      <w:pPr>
        <w:pStyle w:val="ConsPlusTitle"/>
        <w:jc w:val="center"/>
        <w:rPr>
          <w:rFonts w:ascii="Times New Roman" w:hAnsi="Times New Roman" w:cs="Times New Roman"/>
          <w:sz w:val="28"/>
          <w:szCs w:val="28"/>
        </w:rPr>
      </w:pPr>
      <w:r>
        <w:rPr>
          <w:rFonts w:cs="Times New Roman" w:ascii="Times New Roman" w:hAnsi="Times New Roman"/>
          <w:sz w:val="28"/>
          <w:szCs w:val="28"/>
        </w:rPr>
        <w:t>ПРИКАЗ</w:t>
      </w:r>
    </w:p>
    <w:p>
      <w:pPr>
        <w:pStyle w:val="ConsPlusTitle"/>
        <w:jc w:val="center"/>
        <w:rPr>
          <w:rFonts w:ascii="Times New Roman" w:hAnsi="Times New Roman" w:cs="Times New Roman"/>
          <w:sz w:val="28"/>
          <w:szCs w:val="28"/>
        </w:rPr>
      </w:pPr>
      <w:r>
        <w:rPr>
          <w:rFonts w:cs="Times New Roman" w:ascii="Times New Roman" w:hAnsi="Times New Roman"/>
          <w:sz w:val="28"/>
          <w:szCs w:val="28"/>
        </w:rPr>
      </w:r>
    </w:p>
    <w:p>
      <w:pPr>
        <w:pStyle w:val="Normal"/>
        <w:rPr>
          <w:sz w:val="28"/>
          <w:szCs w:val="28"/>
        </w:rPr>
      </w:pPr>
      <w:r>
        <w:rPr>
          <w:sz w:val="28"/>
          <w:szCs w:val="28"/>
        </w:rPr>
        <w:t>от ________ г. № _______</w:t>
      </w:r>
    </w:p>
    <w:p>
      <w:pPr>
        <w:pStyle w:val="Normal"/>
        <w:rPr/>
      </w:pPr>
      <w:r>
        <w:rPr>
          <w:sz w:val="20"/>
          <w:szCs w:val="20"/>
        </w:rPr>
        <w:t xml:space="preserve">             </w:t>
      </w:r>
      <w:r>
        <w:rPr/>
        <w:t>г. ПСКОВ</w:t>
      </w:r>
    </w:p>
    <w:p>
      <w:pPr>
        <w:pStyle w:val="ConsPlusTitle"/>
        <w:jc w:val="center"/>
        <w:rPr/>
      </w:pPr>
      <w:r>
        <w:rPr/>
      </w:r>
    </w:p>
    <w:p>
      <w:pPr>
        <w:pStyle w:val="ConsPlusTitle"/>
        <w:jc w:val="center"/>
        <w:rPr>
          <w:rFonts w:ascii="Times New Roman" w:hAnsi="Times New Roman" w:cs="Times New Roman"/>
          <w:sz w:val="28"/>
          <w:szCs w:val="28"/>
        </w:rPr>
      </w:pPr>
      <w:r>
        <w:rPr>
          <w:rFonts w:cs="Times New Roman" w:ascii="Times New Roman" w:hAnsi="Times New Roman"/>
          <w:sz w:val="28"/>
          <w:szCs w:val="28"/>
        </w:rPr>
        <w:t xml:space="preserve">ОБ УТВЕРЖДЕНИИ АДМИНИСТРАТИВНОГО РЕГЛАМЕНТА </w:t>
      </w:r>
    </w:p>
    <w:p>
      <w:pPr>
        <w:pStyle w:val="ConsPlusTitle"/>
        <w:jc w:val="center"/>
        <w:rPr>
          <w:rFonts w:ascii="Times New Roman" w:hAnsi="Times New Roman" w:cs="Times New Roman"/>
          <w:sz w:val="28"/>
          <w:szCs w:val="28"/>
        </w:rPr>
      </w:pPr>
      <w:r>
        <w:rPr>
          <w:rFonts w:cs="Times New Roman" w:ascii="Times New Roman" w:hAnsi="Times New Roman"/>
          <w:sz w:val="28"/>
          <w:szCs w:val="28"/>
        </w:rPr>
        <w:t xml:space="preserve">КОМИТЕТА ПО ПРИРОДНЫМ РЕСУРСАМ И ЭКОЛОГИИ </w:t>
      </w:r>
    </w:p>
    <w:p>
      <w:pPr>
        <w:pStyle w:val="ConsPlusTitle"/>
        <w:jc w:val="center"/>
        <w:rPr>
          <w:rFonts w:ascii="Times New Roman" w:hAnsi="Times New Roman" w:cs="Times New Roman"/>
          <w:sz w:val="28"/>
          <w:szCs w:val="28"/>
        </w:rPr>
      </w:pPr>
      <w:r>
        <w:rPr>
          <w:rFonts w:cs="Times New Roman" w:ascii="Times New Roman" w:hAnsi="Times New Roman"/>
          <w:sz w:val="28"/>
          <w:szCs w:val="28"/>
        </w:rPr>
        <w:t xml:space="preserve">ПСКОВСКОЙ ОБЛАСТИ </w:t>
      </w:r>
    </w:p>
    <w:p>
      <w:pPr>
        <w:pStyle w:val="ConsPlusTitle"/>
        <w:jc w:val="center"/>
        <w:rPr>
          <w:rFonts w:ascii="Times New Roman" w:hAnsi="Times New Roman" w:cs="Times New Roman"/>
          <w:sz w:val="28"/>
          <w:szCs w:val="28"/>
        </w:rPr>
      </w:pPr>
      <w:r>
        <w:rPr>
          <w:rFonts w:cs="Times New Roman" w:ascii="Times New Roman" w:hAnsi="Times New Roman"/>
          <w:sz w:val="28"/>
          <w:szCs w:val="28"/>
        </w:rPr>
        <w:t xml:space="preserve">ПО ПРЕДОСТАВЛЕНИЮ ГОСУДАРСТВЕННОЙ УСЛУГИ </w:t>
      </w:r>
    </w:p>
    <w:p>
      <w:pPr>
        <w:pStyle w:val="ConsPlusTitle"/>
        <w:jc w:val="center"/>
        <w:rPr>
          <w:rFonts w:ascii="Times New Roman" w:hAnsi="Times New Roman" w:cs="Times New Roman"/>
          <w:sz w:val="28"/>
          <w:szCs w:val="28"/>
        </w:rPr>
      </w:pPr>
      <w:r>
        <w:rPr>
          <w:rFonts w:cs="Times New Roman" w:ascii="Times New Roman" w:hAnsi="Times New Roman"/>
          <w:sz w:val="28"/>
          <w:szCs w:val="28"/>
        </w:rPr>
        <w:t xml:space="preserve">ПО ЗАКЛЮЧЕНИЮ ДОГОВОРА О ЗАКРЕПЛЕНИИ ДОЛИ КВОТЫ </w:t>
      </w:r>
    </w:p>
    <w:p>
      <w:pPr>
        <w:pStyle w:val="ConsPlusTitle"/>
        <w:jc w:val="center"/>
        <w:rPr>
          <w:rFonts w:ascii="Times New Roman" w:hAnsi="Times New Roman" w:cs="Times New Roman"/>
          <w:sz w:val="28"/>
          <w:szCs w:val="28"/>
        </w:rPr>
      </w:pPr>
      <w:r>
        <w:rPr>
          <w:rFonts w:cs="Times New Roman" w:ascii="Times New Roman" w:hAnsi="Times New Roman"/>
          <w:sz w:val="28"/>
          <w:szCs w:val="28"/>
        </w:rPr>
        <w:t>ДОБЫЧИ (ВЫЛОВА) ВОДНЫХ БИОЛОГИЧЕСКИХ РЕСУРСОВ</w:t>
      </w:r>
    </w:p>
    <w:p>
      <w:pPr>
        <w:pStyle w:val="Normal"/>
        <w:spacing w:before="0" w:after="1"/>
        <w:rPr>
          <w:sz w:val="28"/>
          <w:szCs w:val="28"/>
        </w:rPr>
      </w:pPr>
      <w:r>
        <w:rPr>
          <w:sz w:val="28"/>
          <w:szCs w:val="28"/>
        </w:rPr>
      </w:r>
    </w:p>
    <w:p>
      <w:pPr>
        <w:pStyle w:val="ConsPlusNormal"/>
        <w:jc w:val="center"/>
        <w:rPr>
          <w:rFonts w:ascii="Times New Roman" w:hAnsi="Times New Roman" w:cs="Times New Roman"/>
          <w:sz w:val="28"/>
          <w:szCs w:val="28"/>
        </w:rPr>
      </w:pPr>
      <w:r>
        <w:rPr>
          <w:rFonts w:cs="Times New Roman" w:ascii="Times New Roman" w:hAnsi="Times New Roman"/>
          <w:sz w:val="28"/>
          <w:szCs w:val="28"/>
        </w:rPr>
      </w:r>
    </w:p>
    <w:p>
      <w:pPr>
        <w:pStyle w:val="ConsPlusTitle"/>
        <w:ind w:firstLine="709"/>
        <w:jc w:val="both"/>
        <w:rPr>
          <w:rFonts w:ascii="Times New Roman" w:hAnsi="Times New Roman" w:cs="Times New Roman"/>
          <w:b w:val="false"/>
          <w:b w:val="false"/>
          <w:sz w:val="28"/>
          <w:szCs w:val="28"/>
        </w:rPr>
      </w:pPr>
      <w:r>
        <w:rPr>
          <w:rFonts w:cs="Times New Roman" w:ascii="Times New Roman" w:hAnsi="Times New Roman"/>
          <w:b w:val="false"/>
          <w:sz w:val="28"/>
          <w:szCs w:val="28"/>
        </w:rPr>
        <w:t>В соответствии с постановлением Правительства Российской Федерации от 23.08.2018 № 987 «О распределении квот добычи (вылова) водных биологических ресурсов в соответствии с частью 12 статьи 31 Федерального Закона «О рыболовстве и сохранении водных биологических ресурсов» и признании утратившими силу некоторых актов Правительства Российской Федерации», постановлением Администрации области от 22.04.2011 № 150 «Об утверждении Положения о порядке разработки и утверждения административных регламентов предоставления государственных услуг Псковской области органами исполнительной власти Псковской области», Положением о Комитете по природным ресурсам и экологии Псковской области, утвержденным постановлением Администрации области от 13.07.2009 г. № 250, приказываю:</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1. Утвердить прилагаемый Административный регламент Комитета по природным ресурсам и экологии Псковской области по предоставлению государственной услуги по заключению договора о закреплении доли квоты добычи (вылова) водных биологических ресурсов.</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2. Признать утратившими силу:</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приказ Государственного комитета Псковской области по природопользованию и охране окружающей среды от 02.05.2012 № 258 «Об утверждении Административного регламента Государственного комитета Псковской области по природопользованию и охране окружающей среды по предоставлению государственной услуги по заключению договора о закреплении долей квот добычи (вылова) водных биологических ресурсов»;</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приказ Государственного комитета Псковской области по природопользованию и охране окружающей среды от 13.12.2013 № 950 «О внесении изменений в Административный регламент Государственного комитета Псковской области по природопользованию и охране окружающей среды по предоставлению государственной услуги по заключению договора о закреплении долей квот добычи (вылова) водных биологических ресурсов»;</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пункт 1 приказа Государственного комитета Псковской области по природопользованию и охране окружающей среды от 06.04.2015 № 178 «О внесении изменений в отдельные нормативные правовые акты Государственного комитета Псковской области по природопользованию и охране окружающей среды»;</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пункт 2 приказа Государственного комитета Псковской области по природопользованию и охране окружающей среды от 26.06.2016 № 591 «О внесении изменений в отдельные нормативные правовые акты Государственного комитета Псковской области по природопользованию и охране окружающей среды в сфере охраны и использования водных биологических ресурсов».</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3. Настоящий приказ вступает в силу со дня его официального опубликования.</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4. Контроль за исполнением настоящего приказа возложить на первого заместителя председателя комитета Т.А.Козину.</w:t>
      </w:r>
    </w:p>
    <w:p>
      <w:pPr>
        <w:pStyle w:val="ConsPlusNormal"/>
        <w:ind w:firstLine="540"/>
        <w:jc w:val="both"/>
        <w:rPr/>
      </w:pPr>
      <w:r>
        <w:rPr/>
      </w:r>
    </w:p>
    <w:p>
      <w:pPr>
        <w:pStyle w:val="ConsPlusNormal"/>
        <w:numPr>
          <w:ilvl w:val="0"/>
          <w:numId w:val="0"/>
        </w:numPr>
        <w:jc w:val="right"/>
        <w:outlineLvl w:val="0"/>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right"/>
        <w:outlineLvl w:val="0"/>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right"/>
        <w:outlineLvl w:val="0"/>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right"/>
        <w:outlineLvl w:val="0"/>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both"/>
        <w:outlineLvl w:val="0"/>
        <w:rPr>
          <w:rFonts w:ascii="Times New Roman" w:hAnsi="Times New Roman" w:cs="Times New Roman"/>
          <w:sz w:val="28"/>
          <w:szCs w:val="28"/>
        </w:rPr>
      </w:pPr>
      <w:r>
        <w:rPr>
          <w:rFonts w:cs="Times New Roman" w:ascii="Times New Roman" w:hAnsi="Times New Roman"/>
          <w:sz w:val="28"/>
          <w:szCs w:val="28"/>
        </w:rPr>
        <w:t>Председатель комитета                                                                       В.Ю.Мусатов</w:t>
      </w:r>
    </w:p>
    <w:p>
      <w:pPr>
        <w:pStyle w:val="ConsPlusNormal"/>
        <w:numPr>
          <w:ilvl w:val="0"/>
          <w:numId w:val="0"/>
        </w:numPr>
        <w:jc w:val="right"/>
        <w:outlineLvl w:val="0"/>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right"/>
        <w:outlineLvl w:val="0"/>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right"/>
        <w:outlineLvl w:val="0"/>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right"/>
        <w:outlineLvl w:val="0"/>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right"/>
        <w:outlineLvl w:val="0"/>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right"/>
        <w:outlineLvl w:val="0"/>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right"/>
        <w:outlineLvl w:val="0"/>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right"/>
        <w:outlineLvl w:val="0"/>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right"/>
        <w:outlineLvl w:val="0"/>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right"/>
        <w:outlineLvl w:val="0"/>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right"/>
        <w:outlineLvl w:val="0"/>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right"/>
        <w:outlineLvl w:val="0"/>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right"/>
        <w:outlineLvl w:val="0"/>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right"/>
        <w:outlineLvl w:val="0"/>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right"/>
        <w:outlineLvl w:val="0"/>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right"/>
        <w:outlineLvl w:val="0"/>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outlineLvl w:val="0"/>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right"/>
        <w:outlineLvl w:val="0"/>
        <w:rPr>
          <w:rFonts w:ascii="Times New Roman" w:hAnsi="Times New Roman" w:cs="Times New Roman"/>
          <w:sz w:val="28"/>
          <w:szCs w:val="28"/>
        </w:rPr>
      </w:pPr>
      <w:r>
        <w:rPr>
          <w:rFonts w:cs="Times New Roman" w:ascii="Times New Roman" w:hAnsi="Times New Roman"/>
          <w:sz w:val="28"/>
          <w:szCs w:val="28"/>
        </w:rPr>
        <w:t>Утвержден</w:t>
      </w:r>
    </w:p>
    <w:p>
      <w:pPr>
        <w:pStyle w:val="ConsPlusNormal"/>
        <w:jc w:val="right"/>
        <w:rPr>
          <w:rFonts w:ascii="Times New Roman" w:hAnsi="Times New Roman" w:cs="Times New Roman"/>
          <w:sz w:val="28"/>
          <w:szCs w:val="28"/>
        </w:rPr>
      </w:pPr>
      <w:r>
        <w:rPr>
          <w:rFonts w:cs="Times New Roman" w:ascii="Times New Roman" w:hAnsi="Times New Roman"/>
          <w:sz w:val="28"/>
          <w:szCs w:val="28"/>
        </w:rPr>
        <w:t>приказом</w:t>
      </w:r>
    </w:p>
    <w:p>
      <w:pPr>
        <w:pStyle w:val="ConsPlusNormal"/>
        <w:jc w:val="right"/>
        <w:rPr>
          <w:rFonts w:ascii="Times New Roman" w:hAnsi="Times New Roman" w:cs="Times New Roman"/>
          <w:sz w:val="28"/>
          <w:szCs w:val="28"/>
        </w:rPr>
      </w:pPr>
      <w:r>
        <w:rPr>
          <w:rFonts w:cs="Times New Roman" w:ascii="Times New Roman" w:hAnsi="Times New Roman"/>
          <w:sz w:val="28"/>
          <w:szCs w:val="28"/>
        </w:rPr>
        <w:t xml:space="preserve">Комитета по природным ресурсам </w:t>
      </w:r>
    </w:p>
    <w:p>
      <w:pPr>
        <w:pStyle w:val="ConsPlusNormal"/>
        <w:jc w:val="right"/>
        <w:rPr>
          <w:rFonts w:ascii="Times New Roman" w:hAnsi="Times New Roman" w:cs="Times New Roman"/>
          <w:sz w:val="28"/>
          <w:szCs w:val="28"/>
        </w:rPr>
      </w:pPr>
      <w:r>
        <w:rPr>
          <w:rFonts w:cs="Times New Roman" w:ascii="Times New Roman" w:hAnsi="Times New Roman"/>
          <w:sz w:val="28"/>
          <w:szCs w:val="28"/>
        </w:rPr>
        <w:t xml:space="preserve">и экологии Псковской области </w:t>
      </w:r>
    </w:p>
    <w:p>
      <w:pPr>
        <w:pStyle w:val="ConsPlusNormal"/>
        <w:jc w:val="right"/>
        <w:rPr>
          <w:rFonts w:ascii="Times New Roman" w:hAnsi="Times New Roman" w:cs="Times New Roman"/>
          <w:sz w:val="28"/>
          <w:szCs w:val="28"/>
        </w:rPr>
      </w:pPr>
      <w:r>
        <w:rPr>
          <w:rFonts w:cs="Times New Roman" w:ascii="Times New Roman" w:hAnsi="Times New Roman"/>
          <w:sz w:val="28"/>
          <w:szCs w:val="28"/>
        </w:rPr>
        <w:t>от ___________ г. №_______</w:t>
      </w:r>
    </w:p>
    <w:p>
      <w:pPr>
        <w:pStyle w:val="ConsPlusNormal"/>
        <w:jc w:val="center"/>
        <w:rPr>
          <w:rFonts w:ascii="Times New Roman" w:hAnsi="Times New Roman" w:cs="Times New Roman"/>
          <w:sz w:val="28"/>
          <w:szCs w:val="28"/>
        </w:rPr>
      </w:pPr>
      <w:r>
        <w:rPr>
          <w:rFonts w:cs="Times New Roman" w:ascii="Times New Roman" w:hAnsi="Times New Roman"/>
          <w:sz w:val="28"/>
          <w:szCs w:val="28"/>
        </w:rPr>
      </w:r>
    </w:p>
    <w:p>
      <w:pPr>
        <w:pStyle w:val="ConsPlusTitle"/>
        <w:jc w:val="center"/>
        <w:rPr>
          <w:rFonts w:ascii="Times New Roman" w:hAnsi="Times New Roman" w:cs="Times New Roman"/>
          <w:sz w:val="28"/>
          <w:szCs w:val="28"/>
        </w:rPr>
      </w:pPr>
      <w:bookmarkStart w:id="0" w:name="P37"/>
      <w:bookmarkEnd w:id="0"/>
      <w:r>
        <w:rPr>
          <w:rFonts w:cs="Times New Roman" w:ascii="Times New Roman" w:hAnsi="Times New Roman"/>
          <w:sz w:val="28"/>
          <w:szCs w:val="28"/>
        </w:rPr>
        <w:t xml:space="preserve">АДМИНИСТРАТИВНЫЙ РЕГЛАМЕНТ </w:t>
      </w:r>
    </w:p>
    <w:p>
      <w:pPr>
        <w:pStyle w:val="ConsPlusTitle"/>
        <w:jc w:val="center"/>
        <w:rPr>
          <w:rFonts w:ascii="Times New Roman" w:hAnsi="Times New Roman" w:cs="Times New Roman"/>
          <w:sz w:val="28"/>
          <w:szCs w:val="28"/>
        </w:rPr>
      </w:pPr>
      <w:r>
        <w:rPr>
          <w:rFonts w:cs="Times New Roman" w:ascii="Times New Roman" w:hAnsi="Times New Roman"/>
          <w:sz w:val="28"/>
          <w:szCs w:val="28"/>
        </w:rPr>
        <w:t xml:space="preserve">КОМИТЕТА ПО ПРИРОДНЫМ РЕСУРСАМ И ЭКОЛОГИИ </w:t>
      </w:r>
    </w:p>
    <w:p>
      <w:pPr>
        <w:pStyle w:val="ConsPlusTitle"/>
        <w:jc w:val="center"/>
        <w:rPr>
          <w:rFonts w:ascii="Times New Roman" w:hAnsi="Times New Roman" w:cs="Times New Roman"/>
          <w:sz w:val="28"/>
          <w:szCs w:val="28"/>
        </w:rPr>
      </w:pPr>
      <w:r>
        <w:rPr>
          <w:rFonts w:cs="Times New Roman" w:ascii="Times New Roman" w:hAnsi="Times New Roman"/>
          <w:sz w:val="28"/>
          <w:szCs w:val="28"/>
        </w:rPr>
        <w:t xml:space="preserve">ПСКОВСКОЙ ОБЛАСТИ </w:t>
      </w:r>
    </w:p>
    <w:p>
      <w:pPr>
        <w:pStyle w:val="ConsPlusTitle"/>
        <w:jc w:val="center"/>
        <w:rPr>
          <w:rFonts w:ascii="Times New Roman" w:hAnsi="Times New Roman" w:cs="Times New Roman"/>
          <w:sz w:val="28"/>
          <w:szCs w:val="28"/>
        </w:rPr>
      </w:pPr>
      <w:r>
        <w:rPr>
          <w:rFonts w:cs="Times New Roman" w:ascii="Times New Roman" w:hAnsi="Times New Roman"/>
          <w:sz w:val="28"/>
          <w:szCs w:val="28"/>
        </w:rPr>
        <w:t xml:space="preserve">ПО ПРЕДОСТАВЛЕНИЮ ГОСУДАРСТВЕННОЙ УСЛУГИ </w:t>
      </w:r>
    </w:p>
    <w:p>
      <w:pPr>
        <w:pStyle w:val="ConsPlusTitle"/>
        <w:jc w:val="center"/>
        <w:rPr>
          <w:rFonts w:ascii="Times New Roman" w:hAnsi="Times New Roman" w:cs="Times New Roman"/>
          <w:sz w:val="28"/>
          <w:szCs w:val="28"/>
        </w:rPr>
      </w:pPr>
      <w:r>
        <w:rPr>
          <w:rFonts w:cs="Times New Roman" w:ascii="Times New Roman" w:hAnsi="Times New Roman"/>
          <w:sz w:val="28"/>
          <w:szCs w:val="28"/>
        </w:rPr>
        <w:t xml:space="preserve">ПО ЗАКЛЮЧЕНИЮ ДОГОВОРА О ЗАКРЕПЛЕНИИ ДОЛИ КВОТЫ </w:t>
      </w:r>
    </w:p>
    <w:p>
      <w:pPr>
        <w:pStyle w:val="ConsPlusTitle"/>
        <w:jc w:val="center"/>
        <w:rPr>
          <w:rFonts w:ascii="Times New Roman" w:hAnsi="Times New Roman" w:cs="Times New Roman"/>
          <w:sz w:val="28"/>
          <w:szCs w:val="28"/>
        </w:rPr>
      </w:pPr>
      <w:r>
        <w:rPr>
          <w:rFonts w:cs="Times New Roman" w:ascii="Times New Roman" w:hAnsi="Times New Roman"/>
          <w:sz w:val="28"/>
          <w:szCs w:val="28"/>
        </w:rPr>
        <w:t>ДОБЫЧИ (ВЫЛОВА) ВОДНЫХ БИОЛОГИЧЕСКИХ РЕСУРСОВ</w:t>
      </w:r>
    </w:p>
    <w:p>
      <w:pPr>
        <w:pStyle w:val="Normal"/>
        <w:spacing w:before="0" w:after="1"/>
        <w:rPr>
          <w:sz w:val="28"/>
          <w:szCs w:val="28"/>
        </w:rPr>
      </w:pPr>
      <w:r>
        <w:rPr>
          <w:sz w:val="28"/>
          <w:szCs w:val="28"/>
        </w:rPr>
      </w:r>
    </w:p>
    <w:p>
      <w:pPr>
        <w:pStyle w:val="ConsPlusNormal"/>
        <w:jc w:val="center"/>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center"/>
        <w:outlineLvl w:val="1"/>
        <w:rPr>
          <w:rFonts w:ascii="Times New Roman" w:hAnsi="Times New Roman" w:cs="Times New Roman"/>
          <w:sz w:val="28"/>
          <w:szCs w:val="28"/>
        </w:rPr>
      </w:pPr>
      <w:r>
        <w:rPr>
          <w:rFonts w:cs="Times New Roman" w:ascii="Times New Roman" w:hAnsi="Times New Roman"/>
          <w:sz w:val="28"/>
          <w:szCs w:val="28"/>
        </w:rPr>
        <w:t>I. Общие положения</w:t>
      </w:r>
    </w:p>
    <w:p>
      <w:pPr>
        <w:pStyle w:val="ConsPlusNormal"/>
        <w:jc w:val="center"/>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center"/>
        <w:outlineLvl w:val="2"/>
        <w:rPr>
          <w:rFonts w:ascii="Times New Roman" w:hAnsi="Times New Roman" w:cs="Times New Roman"/>
          <w:sz w:val="28"/>
          <w:szCs w:val="28"/>
        </w:rPr>
      </w:pPr>
      <w:r>
        <w:rPr>
          <w:rFonts w:cs="Times New Roman" w:ascii="Times New Roman" w:hAnsi="Times New Roman"/>
          <w:sz w:val="28"/>
          <w:szCs w:val="28"/>
        </w:rPr>
        <w:t>1. Предмет регулирования Административного регламента</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t>Настоящий Административный регламент устанавливает порядок и стандарт предоставления Комитетом по природным ресурсам и экологии Псковской области (далее также - Комитет) государственной услуги по заключению договора о закреплении доли квоты добычи (вылова) водных биологических ресурсов (далее - государственная услуга).</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center"/>
        <w:outlineLvl w:val="2"/>
        <w:rPr>
          <w:rFonts w:ascii="Times New Roman" w:hAnsi="Times New Roman" w:cs="Times New Roman"/>
          <w:sz w:val="28"/>
          <w:szCs w:val="28"/>
        </w:rPr>
      </w:pPr>
      <w:r>
        <w:rPr>
          <w:rFonts w:cs="Times New Roman" w:ascii="Times New Roman" w:hAnsi="Times New Roman"/>
          <w:sz w:val="28"/>
          <w:szCs w:val="28"/>
        </w:rPr>
        <w:t>2. Круг заявителей</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t>Предоставление государственной услуги осуществляется в отношении юридических лиц и индивидуальных предпринимателей, обратившихся в Комитет с заявлением о заключении договора о закреплении доли квоты добычи (вылова) водных биологических ресурсов (далее - заявитель).</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center"/>
        <w:outlineLvl w:val="2"/>
        <w:rPr>
          <w:rFonts w:ascii="Times New Roman" w:hAnsi="Times New Roman" w:cs="Times New Roman"/>
          <w:sz w:val="28"/>
          <w:szCs w:val="28"/>
        </w:rPr>
      </w:pPr>
      <w:r>
        <w:rPr>
          <w:rFonts w:cs="Times New Roman" w:ascii="Times New Roman" w:hAnsi="Times New Roman"/>
          <w:sz w:val="28"/>
          <w:szCs w:val="28"/>
        </w:rPr>
        <w:t>3. Требования к порядку информирования о</w:t>
      </w:r>
    </w:p>
    <w:p>
      <w:pPr>
        <w:pStyle w:val="ConsPlusNormal"/>
        <w:jc w:val="center"/>
        <w:rPr>
          <w:rFonts w:ascii="Times New Roman" w:hAnsi="Times New Roman" w:cs="Times New Roman"/>
          <w:sz w:val="28"/>
          <w:szCs w:val="28"/>
        </w:rPr>
      </w:pPr>
      <w:r>
        <w:rPr>
          <w:rFonts w:cs="Times New Roman" w:ascii="Times New Roman" w:hAnsi="Times New Roman"/>
          <w:sz w:val="28"/>
          <w:szCs w:val="28"/>
        </w:rPr>
        <w:t>предоставлении государственной услуги</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r>
    </w:p>
    <w:p>
      <w:pPr>
        <w:pStyle w:val="ConsPlusNormal"/>
        <w:ind w:firstLine="540"/>
        <w:jc w:val="both"/>
        <w:rPr>
          <w:rFonts w:ascii="Times New Roman" w:hAnsi="Times New Roman" w:cs="Times New Roman"/>
          <w:sz w:val="28"/>
          <w:szCs w:val="28"/>
        </w:rPr>
      </w:pPr>
      <w:bookmarkStart w:id="1" w:name="P60"/>
      <w:bookmarkEnd w:id="1"/>
      <w:r>
        <w:rPr>
          <w:rFonts w:cs="Times New Roman" w:ascii="Times New Roman" w:hAnsi="Times New Roman"/>
          <w:sz w:val="28"/>
          <w:szCs w:val="28"/>
        </w:rPr>
        <w:t>3.1. Комитет осуществляет предоставление государственной услуги по адресу:</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г. Псков, ул. Некрасова, д. 23, флигель, 2-й этаж, кабинет № 10.</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Почтовый адрес: 180001, г. Псков, ул. Некрасова, д. 23.</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Адрес официального сайта Комитета в информационно-телекоммуникационной сети «Интернет» (далее - сеть Интернет): priroda.pskov.ru.</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Адрес электронной почты: lic-k1@obladmin.pskov.ru.</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График работы Комитета:</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понедельник - пятница с 09.00 - 18.00, обед с 13.00 - 14.00,</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суббота, воскресенье - выходные дни.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Телефоны для получения информации, связанной с предоставлением государственной услуги: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единая справочная служба: 8-800-100-60-11;</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приемная Комитета: 29-98-40 (доб. 100);</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отдел водных биоресурсов Комитета: 29-98-40 (доб. 110), 29-98-40 (доб. 111).</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Справочные телефоны государственных органов, участвующих в предоставлении государственной услуги:</w:t>
      </w:r>
    </w:p>
    <w:p>
      <w:pPr>
        <w:pStyle w:val="ConsPlusNormal"/>
        <w:spacing w:before="220" w:after="0"/>
        <w:ind w:firstLine="709"/>
        <w:jc w:val="both"/>
        <w:rPr>
          <w:rFonts w:ascii="Times New Roman" w:hAnsi="Times New Roman" w:cs="Times New Roman"/>
          <w:sz w:val="28"/>
          <w:szCs w:val="28"/>
        </w:rPr>
      </w:pPr>
      <w:bookmarkStart w:id="2" w:name="P77"/>
      <w:bookmarkEnd w:id="2"/>
      <w:r>
        <w:rPr>
          <w:rFonts w:cs="Times New Roman" w:ascii="Times New Roman" w:hAnsi="Times New Roman"/>
          <w:sz w:val="28"/>
          <w:szCs w:val="28"/>
        </w:rPr>
        <w:t>Управление Федеральной налоговой службы по Псковской области, межрайонные инспекции Федеральной налоговой службы по Псковской области:</w:t>
      </w:r>
    </w:p>
    <w:p>
      <w:pPr>
        <w:pStyle w:val="ConsPlusNormal"/>
        <w:spacing w:before="220" w:after="0"/>
        <w:ind w:firstLine="709"/>
        <w:jc w:val="both"/>
        <w:rPr>
          <w:rFonts w:ascii="Times New Roman" w:hAnsi="Times New Roman" w:cs="Times New Roman"/>
          <w:sz w:val="28"/>
          <w:szCs w:val="28"/>
        </w:rPr>
      </w:pPr>
      <w:r>
        <w:rPr>
          <w:rFonts w:cs="Times New Roman" w:ascii="Times New Roman" w:hAnsi="Times New Roman"/>
          <w:sz w:val="28"/>
          <w:szCs w:val="28"/>
        </w:rPr>
        <w:t>телефон справочной службы: 8 (8112) 69-92-00;</w:t>
      </w:r>
    </w:p>
    <w:p>
      <w:pPr>
        <w:pStyle w:val="ConsPlusNormal"/>
        <w:spacing w:before="220" w:after="0"/>
        <w:ind w:firstLine="540"/>
        <w:jc w:val="both"/>
        <w:rPr/>
      </w:pPr>
      <w:r>
        <w:rPr>
          <w:rFonts w:cs="Times New Roman" w:ascii="Times New Roman" w:hAnsi="Times New Roman"/>
          <w:sz w:val="28"/>
          <w:szCs w:val="28"/>
        </w:rPr>
        <w:t xml:space="preserve">адрес официального сайта Управления Федеральной налоговой службы по Псковской области в сети Интернет: </w:t>
      </w:r>
      <w:hyperlink r:id="rId3">
        <w:r>
          <w:rPr>
            <w:rStyle w:val="Style17"/>
            <w:rFonts w:cs="Times New Roman" w:ascii="Times New Roman" w:hAnsi="Times New Roman"/>
            <w:sz w:val="28"/>
            <w:szCs w:val="28"/>
          </w:rPr>
          <w:t>www.nalog.ru/rn60/</w:t>
        </w:r>
      </w:hyperlink>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Управление Федеральной антимонопольной службы по Псковской области:</w:t>
      </w:r>
    </w:p>
    <w:p>
      <w:pPr>
        <w:pStyle w:val="ConsPlusNormal"/>
        <w:spacing w:before="220" w:after="0"/>
        <w:ind w:firstLine="709"/>
        <w:jc w:val="both"/>
        <w:rPr>
          <w:rFonts w:ascii="Times New Roman" w:hAnsi="Times New Roman" w:cs="Times New Roman"/>
          <w:sz w:val="28"/>
          <w:szCs w:val="28"/>
        </w:rPr>
      </w:pPr>
      <w:r>
        <w:rPr>
          <w:rFonts w:cs="Times New Roman" w:ascii="Times New Roman" w:hAnsi="Times New Roman"/>
          <w:sz w:val="28"/>
          <w:szCs w:val="28"/>
        </w:rPr>
        <w:t>телефон справочной службы: 8 (8112) 66-55-53;</w:t>
      </w:r>
    </w:p>
    <w:p>
      <w:pPr>
        <w:pStyle w:val="ConsPlusNormal"/>
        <w:spacing w:before="220" w:after="0"/>
        <w:ind w:firstLine="540"/>
        <w:jc w:val="both"/>
        <w:rPr/>
      </w:pPr>
      <w:r>
        <w:rPr>
          <w:rFonts w:cs="Times New Roman" w:ascii="Times New Roman" w:hAnsi="Times New Roman"/>
          <w:sz w:val="28"/>
          <w:szCs w:val="28"/>
        </w:rPr>
        <w:t xml:space="preserve">адрес официального сайта Управления Федеральной антимонопольной службы по Псковской области: </w:t>
      </w:r>
      <w:hyperlink r:id="rId4">
        <w:r>
          <w:rPr>
            <w:rStyle w:val="Style17"/>
            <w:rFonts w:cs="Times New Roman" w:ascii="Times New Roman" w:hAnsi="Times New Roman"/>
            <w:sz w:val="28"/>
            <w:szCs w:val="28"/>
            <w:lang w:val="en-US"/>
          </w:rPr>
          <w:t>www</w:t>
        </w:r>
        <w:r>
          <w:rPr>
            <w:rStyle w:val="Style17"/>
            <w:rFonts w:cs="Times New Roman" w:ascii="Times New Roman" w:hAnsi="Times New Roman"/>
            <w:sz w:val="28"/>
            <w:szCs w:val="28"/>
          </w:rPr>
          <w:t>.pskov.fas.gov.ru</w:t>
        </w:r>
      </w:hyperlink>
      <w:r>
        <w:rPr>
          <w:rFonts w:cs="Times New Roman" w:ascii="Times New Roman" w:hAnsi="Times New Roman"/>
          <w:sz w:val="28"/>
          <w:szCs w:val="28"/>
        </w:rPr>
        <w:t xml:space="preserve"> </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3.2. Информирование о порядке предоставления государственной услуги, о перечне документов, необходимых для предоставления государственной услуги, о ходе предоставления государственной услуги, о способе получения информации о месте нахождения и графике работы Комитета, осуществляется непосредственно в помещении Комитета, по электронной почте, посредством ее размещения на информационных стендах, в многофункциональном центре предоставления государственных и муниципальных услуг (далее - многофункциональный центр), в сети Интернет: на официальном сайте Комитета (priroda.pskov.ru), в федеральной государственной информационной системе «Единый портал государственных и муниципальных услуг» (gosuslugi.ru) (далее - Единый портал государственных услуг) и в государственной информационной системе «Государственные и муниципальные услуги (функции) в Псковской области» (gosuslugi.pskov.ru) (далее - Портал государственных и муниципальных услуг Псковской области). Также информация может быть предоставлена по телефонам, указанным в пункте 3.1 настоящего подраздела.</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center"/>
        <w:outlineLvl w:val="1"/>
        <w:rPr>
          <w:rFonts w:ascii="Times New Roman" w:hAnsi="Times New Roman" w:cs="Times New Roman"/>
          <w:sz w:val="28"/>
          <w:szCs w:val="28"/>
        </w:rPr>
      </w:pPr>
      <w:r>
        <w:rPr>
          <w:rFonts w:cs="Times New Roman" w:ascii="Times New Roman" w:hAnsi="Times New Roman"/>
          <w:sz w:val="28"/>
          <w:szCs w:val="28"/>
        </w:rPr>
        <w:t>II. Стандарт предоставления государственной услуги</w:t>
      </w:r>
    </w:p>
    <w:p>
      <w:pPr>
        <w:pStyle w:val="ConsPlusNormal"/>
        <w:jc w:val="center"/>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center"/>
        <w:outlineLvl w:val="2"/>
        <w:rPr>
          <w:rFonts w:ascii="Times New Roman" w:hAnsi="Times New Roman" w:cs="Times New Roman"/>
          <w:sz w:val="28"/>
          <w:szCs w:val="28"/>
        </w:rPr>
      </w:pPr>
      <w:r>
        <w:rPr>
          <w:rFonts w:cs="Times New Roman" w:ascii="Times New Roman" w:hAnsi="Times New Roman"/>
          <w:sz w:val="28"/>
          <w:szCs w:val="28"/>
        </w:rPr>
        <w:t>1. Наименование государственной услуги</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t>Заключение договора о закреплении доли квоты добычи (вылова) водных биологических ресурсов.</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center"/>
        <w:outlineLvl w:val="2"/>
        <w:rPr>
          <w:rFonts w:ascii="Times New Roman" w:hAnsi="Times New Roman" w:cs="Times New Roman"/>
          <w:sz w:val="28"/>
          <w:szCs w:val="28"/>
        </w:rPr>
      </w:pPr>
      <w:r>
        <w:rPr>
          <w:rFonts w:cs="Times New Roman" w:ascii="Times New Roman" w:hAnsi="Times New Roman"/>
          <w:sz w:val="28"/>
          <w:szCs w:val="28"/>
        </w:rPr>
        <w:t>2. Наименование органа исполнительной власти Псковской</w:t>
      </w:r>
    </w:p>
    <w:p>
      <w:pPr>
        <w:pStyle w:val="ConsPlusNormal"/>
        <w:jc w:val="center"/>
        <w:rPr>
          <w:rFonts w:ascii="Times New Roman" w:hAnsi="Times New Roman" w:cs="Times New Roman"/>
          <w:sz w:val="28"/>
          <w:szCs w:val="28"/>
        </w:rPr>
      </w:pPr>
      <w:r>
        <w:rPr>
          <w:rFonts w:cs="Times New Roman" w:ascii="Times New Roman" w:hAnsi="Times New Roman"/>
          <w:sz w:val="28"/>
          <w:szCs w:val="28"/>
        </w:rPr>
        <w:t>области, предоставляющего государственную услугу</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t>Государственная услуга предоставляется Комитетом по природным ресурсам и экологии Псковской области.</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center"/>
        <w:outlineLvl w:val="2"/>
        <w:rPr>
          <w:rFonts w:ascii="Times New Roman" w:hAnsi="Times New Roman" w:cs="Times New Roman"/>
          <w:sz w:val="28"/>
          <w:szCs w:val="28"/>
        </w:rPr>
      </w:pPr>
      <w:r>
        <w:rPr>
          <w:rFonts w:cs="Times New Roman" w:ascii="Times New Roman" w:hAnsi="Times New Roman"/>
          <w:sz w:val="28"/>
          <w:szCs w:val="28"/>
        </w:rPr>
        <w:t>3. Результат предоставления государственной услуги</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t>Результатом предоставления государственной услуги являются:</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1) вручение или направление заявителю подписанного председателем Комитета договора о закреплении доли квоты добычи (вылова) водных биологических ресурсов;</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2) вручение или направление заявителю подписанного председателем Комитета уведомления об отказе в заключении договора о закреплении доли квоты добычи (вылова) водных биологических ресурсов.</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center"/>
        <w:outlineLvl w:val="2"/>
        <w:rPr>
          <w:rFonts w:ascii="Times New Roman" w:hAnsi="Times New Roman" w:cs="Times New Roman"/>
          <w:sz w:val="28"/>
          <w:szCs w:val="28"/>
        </w:rPr>
      </w:pPr>
      <w:r>
        <w:rPr>
          <w:rFonts w:cs="Times New Roman" w:ascii="Times New Roman" w:hAnsi="Times New Roman"/>
          <w:sz w:val="28"/>
          <w:szCs w:val="28"/>
        </w:rPr>
        <w:t>4. Срок предоставления государственной услуги</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Предоставление государственной услуги осуществляется Комитетом в течение 30 календарных дней со дня подачи заявки о заключении договора о закреплении доли квоты добычи (вылова) водных биологических ресурсов.</w:t>
      </w:r>
    </w:p>
    <w:p>
      <w:pPr>
        <w:pStyle w:val="ConsPlusNormal"/>
        <w:jc w:val="both"/>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center"/>
        <w:outlineLvl w:val="2"/>
        <w:rPr>
          <w:rFonts w:ascii="Times New Roman" w:hAnsi="Times New Roman" w:cs="Times New Roman"/>
          <w:sz w:val="28"/>
          <w:szCs w:val="28"/>
        </w:rPr>
      </w:pPr>
      <w:r>
        <w:rPr>
          <w:rFonts w:cs="Times New Roman" w:ascii="Times New Roman" w:hAnsi="Times New Roman"/>
          <w:sz w:val="28"/>
          <w:szCs w:val="28"/>
        </w:rPr>
        <w:t>5. Правовые основания для</w:t>
      </w:r>
    </w:p>
    <w:p>
      <w:pPr>
        <w:pStyle w:val="ConsPlusNormal"/>
        <w:jc w:val="center"/>
        <w:rPr>
          <w:rFonts w:ascii="Times New Roman" w:hAnsi="Times New Roman" w:cs="Times New Roman"/>
          <w:sz w:val="28"/>
          <w:szCs w:val="28"/>
        </w:rPr>
      </w:pPr>
      <w:r>
        <w:rPr>
          <w:rFonts w:cs="Times New Roman" w:ascii="Times New Roman" w:hAnsi="Times New Roman"/>
          <w:sz w:val="28"/>
          <w:szCs w:val="28"/>
        </w:rPr>
        <w:t>предоставления государственной услуги</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t>Федеральный закон от 20 декабря 2004 г. №166-ФЗ «О рыболовстве и сохранении водных биологических ресурсов»;</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Федеральный закон от 27 июля 2010 г. № 210-ФЗ «Об организации предоставления государственных и муниципальных услуг»;</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Федеральный закон от 6 апреля 2011 г. № 63-ФЗ «Об электронной подписи»;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постановление Правительства Российской Федерации от 23 августа 2018 г. № 987 «О распределении квот добычи (вылова) водных биологических ресурсов в соответствии с частью 12 статьи 31 Федерального Закона «О рыболовстве и сохранении водных биологических ресурсов» и признании утратившими силу некоторых актов Правительства Российской Федерации»;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постановление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постановление Правительства Российской Федерации от 25 августа 2012 г.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постановление Администрации области от 13 июля 2009 г. № 250 «Об утверждении Положения о Комитете по природным ресурсам и экологии Псковской области»;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постановление администрации области от 19 июля 2013 г. № 315 «Об особенностях подачи и рассмотрения жалоб на решения и действия (бездействие) органов исполнительной власти области, предоставляющих государственные услуги, и их должностных лиц, государственных гражданских служащих области, а также на решения и действия (бездействие) государственного бюджетного учреждения Псковской области «Многофункциональный центр предоставления государственных и муниципальных услуг Псковской области» и его работников».</w:t>
      </w:r>
    </w:p>
    <w:p>
      <w:pPr>
        <w:pStyle w:val="ConsPlusNormal"/>
        <w:jc w:val="center"/>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center"/>
        <w:outlineLvl w:val="2"/>
        <w:rPr>
          <w:rFonts w:ascii="Times New Roman" w:hAnsi="Times New Roman" w:cs="Times New Roman"/>
          <w:sz w:val="28"/>
          <w:szCs w:val="28"/>
        </w:rPr>
      </w:pPr>
      <w:r>
        <w:rPr>
          <w:rFonts w:cs="Times New Roman" w:ascii="Times New Roman" w:hAnsi="Times New Roman"/>
          <w:sz w:val="28"/>
          <w:szCs w:val="28"/>
        </w:rPr>
        <w:t>6. Исчерпывающий перечень документов, необходимых в</w:t>
      </w:r>
    </w:p>
    <w:p>
      <w:pPr>
        <w:pStyle w:val="ConsPlusNormal"/>
        <w:jc w:val="center"/>
        <w:rPr>
          <w:rFonts w:ascii="Times New Roman" w:hAnsi="Times New Roman" w:cs="Times New Roman"/>
          <w:sz w:val="28"/>
          <w:szCs w:val="28"/>
        </w:rPr>
      </w:pPr>
      <w:r>
        <w:rPr>
          <w:rFonts w:cs="Times New Roman" w:ascii="Times New Roman" w:hAnsi="Times New Roman"/>
          <w:sz w:val="28"/>
          <w:szCs w:val="28"/>
        </w:rPr>
        <w:t>соответствии с законодательными или иными нормативными</w:t>
      </w:r>
    </w:p>
    <w:p>
      <w:pPr>
        <w:pStyle w:val="ConsPlusNormal"/>
        <w:jc w:val="center"/>
        <w:rPr>
          <w:rFonts w:ascii="Times New Roman" w:hAnsi="Times New Roman" w:cs="Times New Roman"/>
          <w:sz w:val="28"/>
          <w:szCs w:val="28"/>
        </w:rPr>
      </w:pPr>
      <w:r>
        <w:rPr>
          <w:rFonts w:cs="Times New Roman" w:ascii="Times New Roman" w:hAnsi="Times New Roman"/>
          <w:sz w:val="28"/>
          <w:szCs w:val="28"/>
        </w:rPr>
        <w:t>правовыми актами для предоставления государственной услуги</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r>
    </w:p>
    <w:p>
      <w:pPr>
        <w:pStyle w:val="ConsPlusNormal"/>
        <w:ind w:firstLine="540"/>
        <w:jc w:val="both"/>
        <w:rPr>
          <w:rFonts w:ascii="Times New Roman" w:hAnsi="Times New Roman" w:cs="Times New Roman"/>
          <w:sz w:val="28"/>
          <w:szCs w:val="28"/>
        </w:rPr>
      </w:pPr>
      <w:bookmarkStart w:id="3" w:name="P120"/>
      <w:bookmarkEnd w:id="3"/>
      <w:r>
        <w:rPr>
          <w:rFonts w:cs="Times New Roman" w:ascii="Times New Roman" w:hAnsi="Times New Roman"/>
          <w:sz w:val="28"/>
          <w:szCs w:val="28"/>
        </w:rPr>
        <w:t>6.1. Для получения государственной услуги заявитель:</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а) который является победителем аукциона по продаже права на заключение договора о закреплении доли квоты добычи (вылова) водных биоресурсов, проводимого в соответствии со статьей 38 Федерального закона «О рыболовстве и сохранении водных биологических ресурсов» (далее - аукцион), или единственным участником аукциона (далее - победитель аукциона), после поступления от него оплаты за выигранный лот на счет, указанный организатором аукциона представляет в Комитет:</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заявку в письменной форме лично или почтовым отправлением, либо в виде электронного документа, подписанного усиленной квалифицированной электронной подписью, или с использованием федеральной государственной информационной системы «Единый портал государственных и муниципальных услуг (функций)», которая должна содержать следующие сведения:</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для юридических лиц - полное наименование, адрес и место нахождения, банковские реквизиты, идентификационный номер налогоплательщика, основной государственный регистрационный номер, номер контактного телефона;</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для индивидуальных предпринимателей - фамилия, имя, отчество (при наличии), данные документа, удостоверяющего личность, место жительства, банковские реквизиты, идентификационный номер налогоплательщика, основной государственный регистрационный номер индивидуального предпринимателя, номер контактного телефона;</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сведения о нахождении или ненахождении заявителя под контролем иностранного инвестора - для юридического лица;</w:t>
      </w:r>
    </w:p>
    <w:p>
      <w:pPr>
        <w:pStyle w:val="ConsPlusNormal"/>
        <w:spacing w:before="220" w:after="0"/>
        <w:ind w:firstLine="540"/>
        <w:jc w:val="both"/>
        <w:rPr/>
      </w:pPr>
      <w:r>
        <w:rPr>
          <w:rFonts w:cs="Times New Roman" w:ascii="Times New Roman" w:hAnsi="Times New Roman"/>
          <w:sz w:val="28"/>
          <w:szCs w:val="28"/>
        </w:rPr>
        <w:t xml:space="preserve">сведения о решении Федеральной антимонопольной службы, оформленном на основании решения Правительственной комиссии по контролю за осуществлением иностранных инвестиций в Российской Федерации, - для юридического лица в случае, если контроль иностранного инвестора в отношении такого юридического лица установлен в порядке, предусмотренном Федеральным </w:t>
      </w:r>
      <w:hyperlink r:id="rId5">
        <w:r>
          <w:rPr>
            <w:rStyle w:val="Style17"/>
            <w:rFonts w:cs="Times New Roman" w:ascii="Times New Roman" w:hAnsi="Times New Roman"/>
            <w:sz w:val="28"/>
            <w:szCs w:val="28"/>
          </w:rPr>
          <w:t>законом</w:t>
        </w:r>
      </w:hyperlink>
      <w:r>
        <w:rPr>
          <w:rFonts w:cs="Times New Roman" w:ascii="Times New Roman" w:hAnsi="Times New Roman"/>
          <w:sz w:val="28"/>
          <w:szCs w:val="28"/>
        </w:rPr>
        <w:t xml:space="preserve">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документ, подтверждающий оплату за выигранный лот;</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б) который, претендует на заключение договора о закреплении доли квоты добычи (вылова) водных биологических ресурсов в случае включения вида водных биоресурсов в определенном районе их добычи (вылова) во внутреннем водном объекте в перечень видов водных биоресурсов, в отношении которых устанавливается общий допустимый улов водных биоресурсов, и определения квоты добычи (вылова) водных биоресурсов во внутреннем водном объекте путем распределения общего допустимого улова водных биоресурсов применительно к такой квоте при условии отсутствия действующих договоров о закреплении доли квоты добычи (вылова) водных биоресурсов во внутреннем водном объекте, предоставляющих право на добычу (вылов) по такой квоте представляет в Комитет заявку, которая должна содержать следующие сведения:</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для юридических лиц - полное наименование, адрес и место нахождения, банковские реквизиты, идентификационный номер налогоплательщика, основной государственный регистрационный номер, номер контактного телефона;</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для индивидуальных предпринимателей - фамилия, имя, отчество (при наличии), данные документа, удостоверяющего личность, место жительства, банковские реквизиты, идентификационный номер налогоплательщика, основной государственный регистрационный номер индивидуального предпринимателя, номер контактного телефона;</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реквизиты договоров пользования водными биоресурсами за 3 года, предшествующих расчетному году, на основании которых заявителю предоставлялось право на добычу (вылов) водных биоресурсов, (дата и номер договора, наименование органа исполнительной власти, заключившего договор пользования водными биоресурсами с заявителем);</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вид водных биоресурсов, на распределение квоты добычи (вылова) которого заявитель претендует, и район добычи (вылова) такого вида водных биоресурсов во внутреннем водном объекте;</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сведения о нахождении или ненахождении заявителя под контролем иностранного инвестора - для юридического лица;</w:t>
      </w:r>
    </w:p>
    <w:p>
      <w:pPr>
        <w:pStyle w:val="ConsPlusNormal"/>
        <w:spacing w:before="220" w:after="0"/>
        <w:ind w:firstLine="540"/>
        <w:jc w:val="both"/>
        <w:rPr/>
      </w:pPr>
      <w:r>
        <w:rPr>
          <w:rFonts w:cs="Times New Roman" w:ascii="Times New Roman" w:hAnsi="Times New Roman"/>
          <w:sz w:val="28"/>
          <w:szCs w:val="28"/>
        </w:rPr>
        <w:t xml:space="preserve">сведения о решении Федеральной антимонопольной службы, оформленном на основании решения Правительственной комиссии по контролю за осуществлением иностранных инвестиций в Российской Федерации, - для юридического лица в случае, если контроль иностранного инвестора в отношении такого юридического лица установлен в порядке, предусмотренном Федеральным </w:t>
      </w:r>
      <w:hyperlink r:id="rId6">
        <w:r>
          <w:rPr>
            <w:rStyle w:val="Style17"/>
            <w:rFonts w:cs="Times New Roman" w:ascii="Times New Roman" w:hAnsi="Times New Roman"/>
            <w:sz w:val="28"/>
            <w:szCs w:val="28"/>
          </w:rPr>
          <w:t>законом</w:t>
        </w:r>
      </w:hyperlink>
      <w:r>
        <w:rPr>
          <w:rFonts w:cs="Times New Roman" w:ascii="Times New Roman" w:hAnsi="Times New Roman"/>
          <w:sz w:val="28"/>
          <w:szCs w:val="28"/>
        </w:rPr>
        <w:t xml:space="preserve">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в) который, претендует на заключение договора о закреплении доли квоты добычи (вылова) водных биологических ресурсов, в случае истечения срока действия договоров о закреплении доли квоты добычи (вылова) водных биоресурсов во внутреннем водном объекте представляет в Комитет заявку, которая должна содержать следующие сведения:</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для юридических лиц - полное наименование, адрес и место нахождения, банковские реквизиты, идентификационный номер налогоплательщика, основной государственный регистрационный номер, номер контактного телефона;</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для индивидуальных предпринимателей - фамилия, имя, отчество (при наличии), данные документа, удостоверяющего личность, место жительства, банковские реквизиты, идентификационный номер налогоплательщика, основной государственный регистрационный номер индивидуального предпринимателя, номер контактного телефона;</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реквизиты действующего договора о закреплении доли квоты добычи (вылова) водных биоресурсов во внутреннем водном объекте, срок действия которых истекает (дата и номер договора, наименование органа исполнительной власти, заключившего договор о закреплении доли квоты добычи (вылова) водных биоресурсов во внутреннем водном объекте с заявителем). В случае если у заявителя в год подачи заявки истекает срок действия нескольких договоров о закреплении доли квоты добычи (вылова) водных биоресурсов во внутреннем водном объекте, заключенных в отношении соответствующей квоты добычи (вылова) водных биоресурсов, указанная заявка должна содержать реквизиты всех таких действующих договоров о закреплении доли квоты добычи (вылова) водных биоресурсов во внутреннем водном объекте, заключенных заявителем в отношении соответствующей квоты;</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вид водных биоресурсов, в отношении которого заявитель претендует на распределение квоты добычи (вылова) водных биоресурсов договора о закреплении доли квоты добычи (вылова) водных биоресурсов во внутреннем водном объекте, и район добычи (вылова) такого вида водных биоресурсов во внутреннем водном объекте;</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сведения о нахождении или ненахождении заявителя под контролем иностранного инвестора - для юридического лица;</w:t>
      </w:r>
    </w:p>
    <w:p>
      <w:pPr>
        <w:pStyle w:val="ConsPlusNormal"/>
        <w:spacing w:before="220" w:after="0"/>
        <w:ind w:firstLine="540"/>
        <w:jc w:val="both"/>
        <w:rPr/>
      </w:pPr>
      <w:r>
        <w:rPr>
          <w:rFonts w:cs="Times New Roman" w:ascii="Times New Roman" w:hAnsi="Times New Roman"/>
          <w:sz w:val="28"/>
          <w:szCs w:val="28"/>
        </w:rPr>
        <w:t xml:space="preserve">сведения о решении Федеральной антимонопольной службы, оформленном на основании решения Правительственной комиссии по контролю за осуществлением иностранных инвестиций в Российской Федерации, - для юридического лица в случае, если контроль иностранного инвестора в отношении такого юридического лица установлен в порядке, предусмотренном Федеральным </w:t>
      </w:r>
      <w:hyperlink r:id="rId7">
        <w:r>
          <w:rPr>
            <w:rStyle w:val="Style17"/>
            <w:rFonts w:cs="Times New Roman" w:ascii="Times New Roman" w:hAnsi="Times New Roman"/>
            <w:sz w:val="28"/>
            <w:szCs w:val="28"/>
          </w:rPr>
          <w:t>законом</w:t>
        </w:r>
      </w:hyperlink>
      <w:r>
        <w:rPr>
          <w:rFonts w:cs="Times New Roman" w:ascii="Times New Roman" w:hAnsi="Times New Roman"/>
          <w:sz w:val="28"/>
          <w:szCs w:val="28"/>
        </w:rPr>
        <w:t xml:space="preserve">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pPr>
        <w:pStyle w:val="ConsPlusNormal"/>
        <w:spacing w:before="220" w:after="0"/>
        <w:ind w:firstLine="540"/>
        <w:jc w:val="both"/>
        <w:rPr/>
      </w:pPr>
      <w:r>
        <w:rPr>
          <w:rFonts w:cs="Times New Roman" w:ascii="Times New Roman" w:hAnsi="Times New Roman"/>
          <w:sz w:val="28"/>
          <w:szCs w:val="28"/>
        </w:rPr>
        <w:t xml:space="preserve">6.2. Формы заявок, указанных в подпунктах «б» и «в» </w:t>
      </w:r>
      <w:hyperlink w:anchor="P74">
        <w:r>
          <w:rPr>
            <w:rStyle w:val="Style17"/>
            <w:rFonts w:cs="Times New Roman" w:ascii="Times New Roman" w:hAnsi="Times New Roman"/>
            <w:sz w:val="28"/>
            <w:szCs w:val="28"/>
          </w:rPr>
          <w:t>пункт</w:t>
        </w:r>
      </w:hyperlink>
      <w:r>
        <w:rPr>
          <w:rFonts w:cs="Times New Roman" w:ascii="Times New Roman" w:hAnsi="Times New Roman"/>
          <w:sz w:val="28"/>
          <w:szCs w:val="28"/>
        </w:rPr>
        <w:t>а 6.1 настоящего раздела, утверждаются Министерством сельского хозяйства Российской Федерации.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6.3. К заявкам прилагается документ, подтверждающий полномочия лица на осуществление действий от имени заявителя (для индивидуальных предпринимателей - в случае необходимости, для юридических лиц - при отсутствии указанных сведений о лице, имеющем право без доверенности действовать от имени заявителя, в Едином государственном реестре юридических лиц).</w:t>
      </w:r>
    </w:p>
    <w:p>
      <w:pPr>
        <w:pStyle w:val="ConsPlusNormal"/>
        <w:spacing w:before="220" w:after="0"/>
        <w:ind w:firstLine="540"/>
        <w:jc w:val="both"/>
        <w:rPr>
          <w:rFonts w:ascii="Times New Roman" w:hAnsi="Times New Roman" w:cs="Times New Roman"/>
          <w:sz w:val="28"/>
          <w:szCs w:val="28"/>
        </w:rPr>
      </w:pPr>
      <w:bookmarkStart w:id="4" w:name="P90"/>
      <w:bookmarkEnd w:id="4"/>
      <w:r>
        <w:rPr>
          <w:rFonts w:cs="Times New Roman" w:ascii="Times New Roman" w:hAnsi="Times New Roman"/>
          <w:sz w:val="28"/>
          <w:szCs w:val="28"/>
        </w:rPr>
        <w:t>6.4. Заявки, поданные в письменной форме, должны содержать опись прилагаемых к ним документов, быть скреплены печатью заявителя (при наличии) и подписаны заявителями или лицами, уполномоченными заявителями.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Все листы заявок и прилагаемых к ним документов должны быть прошиты в один том и пронумерованы, места прошивки проклеиваются бумажной наклейкой, на которую наносится надпись, включающая наименование должности лица, заверившего заявку, личную подпись, расшифровку подписи, дату заверения, оттиск печати (при наличии).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Соблюдение заявителем указанных требований означает, что все документы и сведения, входящие в состав заявки, поданы от имени заявителя, а также подтверждает подлинность и достоверность представленных в составе заявки документов и сведений.</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6.5. Документы, указанные в пунктах 6.1, 6.3 и 6.4, подаются заявителем в уполномоченный орган в письменной форме лично или почтовым отправлением, либо в виде электронного документа, подписанного усиленной квалифицированной электронной подписью, или с использованием федеральной государственной информационной системы «Единый портал государственных и муниципальных услуг (функций)».</w:t>
      </w:r>
    </w:p>
    <w:p>
      <w:pPr>
        <w:pStyle w:val="ConsPlusNormal"/>
        <w:spacing w:before="220" w:after="0"/>
        <w:ind w:firstLine="540"/>
        <w:jc w:val="both"/>
        <w:rPr>
          <w:rFonts w:ascii="Times New Roman" w:hAnsi="Times New Roman" w:cs="Times New Roman"/>
          <w:sz w:val="28"/>
          <w:szCs w:val="28"/>
        </w:rPr>
      </w:pPr>
      <w:bookmarkStart w:id="5" w:name="P121"/>
      <w:bookmarkEnd w:id="5"/>
      <w:r>
        <w:rPr>
          <w:rFonts w:cs="Times New Roman" w:ascii="Times New Roman" w:hAnsi="Times New Roman"/>
          <w:sz w:val="28"/>
          <w:szCs w:val="28"/>
        </w:rPr>
        <w:t>6.6. Для предоставления государственной услуги Комитет запрашивает в налоговом органе по месту нахождения заявителя следующие документы:</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 выписку из Единого государственного реестра юридических лиц - для юридических лиц;</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 выписку из Единого государственного реестра индивидуальных предпринимателей - для индивидуальных предпринимателей.</w:t>
      </w:r>
    </w:p>
    <w:p>
      <w:pPr>
        <w:pStyle w:val="ConsPlusNormal"/>
        <w:spacing w:before="220" w:after="0"/>
        <w:ind w:firstLine="540"/>
        <w:jc w:val="both"/>
        <w:rPr>
          <w:rFonts w:ascii="Times New Roman" w:hAnsi="Times New Roman" w:cs="Times New Roman"/>
          <w:sz w:val="28"/>
          <w:szCs w:val="28"/>
        </w:rPr>
      </w:pPr>
      <w:bookmarkStart w:id="6" w:name="P124"/>
      <w:bookmarkEnd w:id="6"/>
      <w:r>
        <w:rPr>
          <w:rFonts w:cs="Times New Roman" w:ascii="Times New Roman" w:hAnsi="Times New Roman"/>
          <w:sz w:val="28"/>
          <w:szCs w:val="28"/>
        </w:rPr>
        <w:t>6.7. Заявитель вправе по собственной инициативе представить указанные в пункте 6.6 настоящего подраздела документы.</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center"/>
        <w:outlineLvl w:val="2"/>
        <w:rPr>
          <w:rFonts w:ascii="Times New Roman" w:hAnsi="Times New Roman" w:cs="Times New Roman"/>
          <w:sz w:val="28"/>
          <w:szCs w:val="28"/>
        </w:rPr>
      </w:pPr>
      <w:r>
        <w:rPr>
          <w:rFonts w:cs="Times New Roman" w:ascii="Times New Roman" w:hAnsi="Times New Roman"/>
          <w:sz w:val="28"/>
          <w:szCs w:val="28"/>
        </w:rPr>
        <w:t>7. Исчерпывающий перечень оснований для отказа</w:t>
      </w:r>
    </w:p>
    <w:p>
      <w:pPr>
        <w:pStyle w:val="ConsPlusNormal"/>
        <w:jc w:val="center"/>
        <w:rPr>
          <w:rFonts w:ascii="Times New Roman" w:hAnsi="Times New Roman" w:cs="Times New Roman"/>
          <w:sz w:val="28"/>
          <w:szCs w:val="28"/>
        </w:rPr>
      </w:pPr>
      <w:r>
        <w:rPr>
          <w:rFonts w:cs="Times New Roman" w:ascii="Times New Roman" w:hAnsi="Times New Roman"/>
          <w:sz w:val="28"/>
          <w:szCs w:val="28"/>
        </w:rPr>
        <w:t>в приеме документов, необходимых для</w:t>
      </w:r>
    </w:p>
    <w:p>
      <w:pPr>
        <w:pStyle w:val="ConsPlusNormal"/>
        <w:jc w:val="center"/>
        <w:rPr>
          <w:rFonts w:ascii="Times New Roman" w:hAnsi="Times New Roman" w:cs="Times New Roman"/>
          <w:sz w:val="28"/>
          <w:szCs w:val="28"/>
        </w:rPr>
      </w:pPr>
      <w:r>
        <w:rPr>
          <w:rFonts w:cs="Times New Roman" w:ascii="Times New Roman" w:hAnsi="Times New Roman"/>
          <w:sz w:val="28"/>
          <w:szCs w:val="28"/>
        </w:rPr>
        <w:t>предоставления государственной услуги</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r>
    </w:p>
    <w:p>
      <w:pPr>
        <w:pStyle w:val="ConsPlusNormal"/>
        <w:ind w:firstLine="540"/>
        <w:jc w:val="both"/>
        <w:rPr>
          <w:rFonts w:ascii="Times New Roman" w:hAnsi="Times New Roman" w:cs="Times New Roman"/>
          <w:sz w:val="28"/>
          <w:szCs w:val="28"/>
        </w:rPr>
      </w:pPr>
      <w:bookmarkStart w:id="7" w:name="P130"/>
      <w:bookmarkEnd w:id="7"/>
      <w:r>
        <w:rPr>
          <w:rFonts w:cs="Times New Roman" w:ascii="Times New Roman" w:hAnsi="Times New Roman"/>
          <w:sz w:val="28"/>
          <w:szCs w:val="28"/>
        </w:rPr>
        <w:t>7.1. В приеме документов, необходимых для предоставления государственной услуги, поданных в форме электронного документа, отказывается в случае несоответствия электронных документов требованиям Федерального закона от 6 апреля 2011 г. № 63-ФЗ «Об электронной подписи».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7.2. Оснований для отказа в приеме документов, необходимых для предоставления государственной услуги, поданных в форме документа на бумажном носителе, не установлено.</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center"/>
        <w:outlineLvl w:val="2"/>
        <w:rPr>
          <w:rFonts w:ascii="Times New Roman" w:hAnsi="Times New Roman" w:cs="Times New Roman"/>
          <w:sz w:val="28"/>
          <w:szCs w:val="28"/>
        </w:rPr>
      </w:pPr>
      <w:r>
        <w:rPr>
          <w:rFonts w:cs="Times New Roman" w:ascii="Times New Roman" w:hAnsi="Times New Roman"/>
          <w:sz w:val="28"/>
          <w:szCs w:val="28"/>
        </w:rPr>
        <w:t>8. Исчерпывающий перечень оснований для отказа</w:t>
      </w:r>
    </w:p>
    <w:p>
      <w:pPr>
        <w:pStyle w:val="ConsPlusNormal"/>
        <w:jc w:val="center"/>
        <w:rPr>
          <w:rFonts w:ascii="Times New Roman" w:hAnsi="Times New Roman" w:cs="Times New Roman"/>
          <w:sz w:val="28"/>
          <w:szCs w:val="28"/>
        </w:rPr>
      </w:pPr>
      <w:r>
        <w:rPr>
          <w:rFonts w:cs="Times New Roman" w:ascii="Times New Roman" w:hAnsi="Times New Roman"/>
          <w:sz w:val="28"/>
          <w:szCs w:val="28"/>
        </w:rPr>
        <w:t>в предоставлении государственной услуги</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Основаниями для отказа в предоставлении государственной услуги являются:</w:t>
      </w:r>
    </w:p>
    <w:p>
      <w:pPr>
        <w:pStyle w:val="ConsPlusNormal"/>
        <w:spacing w:before="220" w:after="0"/>
        <w:ind w:firstLine="540"/>
        <w:jc w:val="both"/>
        <w:rPr>
          <w:rFonts w:ascii="Times New Roman" w:hAnsi="Times New Roman" w:cs="Times New Roman"/>
          <w:sz w:val="28"/>
          <w:szCs w:val="28"/>
        </w:rPr>
      </w:pPr>
      <w:bookmarkStart w:id="8" w:name="P106"/>
      <w:bookmarkEnd w:id="8"/>
      <w:r>
        <w:rPr>
          <w:rFonts w:cs="Times New Roman" w:ascii="Times New Roman" w:hAnsi="Times New Roman"/>
          <w:sz w:val="28"/>
          <w:szCs w:val="28"/>
        </w:rPr>
        <w:t>а) представление заявителем недостоверных или искаженных сведений;</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б) непредставление заявителем предусмотренных пунктами 6.1-6.4 настоящего Административного регламента документов и сведений;</w:t>
      </w:r>
    </w:p>
    <w:p>
      <w:pPr>
        <w:pStyle w:val="ConsPlusNormal"/>
        <w:spacing w:before="220" w:after="0"/>
        <w:ind w:firstLine="540"/>
        <w:jc w:val="both"/>
        <w:rPr>
          <w:rFonts w:ascii="Times New Roman" w:hAnsi="Times New Roman" w:cs="Times New Roman"/>
          <w:sz w:val="28"/>
          <w:szCs w:val="28"/>
        </w:rPr>
      </w:pPr>
      <w:bookmarkStart w:id="9" w:name="P108"/>
      <w:bookmarkEnd w:id="9"/>
      <w:r>
        <w:rPr>
          <w:rFonts w:cs="Times New Roman" w:ascii="Times New Roman" w:hAnsi="Times New Roman"/>
          <w:sz w:val="28"/>
          <w:szCs w:val="28"/>
        </w:rPr>
        <w:t>в) подача документов с нарушением требований, установленных пунктом 6.5 настоящего Административного регламента;</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г) наличие у Комитета сведений о нахождении заявителя под контролем иностранного инвестора, за исключением случая, если контроль иностранного инвестора в отношении заявителя установлен в порядке, предусмотренном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д) представление заявителем сведений о договоре (договорах) пользования водными биоресурсами, в отношении которого в государственном рыбохозяйственном реестре отсутствуют данные об объеме добытого (выловленного) заявителем вида водных биоресурсов на основании этого договора (этих договоров) за 3 года, предшествующих расчетному году, ввиду неосуществления заявителем за этот период добычи (вылова) водных биоресурсов на основании договора (договоров) пользования водными биоресурсами (при рассмотрении заявки, указанной в подпункте «б» пункта 6.1 настоящего Административного регламента).</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center"/>
        <w:outlineLvl w:val="2"/>
        <w:rPr>
          <w:rFonts w:ascii="Times New Roman" w:hAnsi="Times New Roman" w:cs="Times New Roman"/>
          <w:sz w:val="28"/>
          <w:szCs w:val="28"/>
        </w:rPr>
      </w:pPr>
      <w:r>
        <w:rPr>
          <w:rFonts w:cs="Times New Roman" w:ascii="Times New Roman" w:hAnsi="Times New Roman"/>
          <w:sz w:val="28"/>
          <w:szCs w:val="28"/>
        </w:rPr>
        <w:t>9. Размер платы, взимаемой с заявителя при предоставлении</w:t>
      </w:r>
    </w:p>
    <w:p>
      <w:pPr>
        <w:pStyle w:val="ConsPlusNormal"/>
        <w:jc w:val="center"/>
        <w:rPr>
          <w:rFonts w:ascii="Times New Roman" w:hAnsi="Times New Roman" w:cs="Times New Roman"/>
          <w:sz w:val="28"/>
          <w:szCs w:val="28"/>
        </w:rPr>
      </w:pPr>
      <w:r>
        <w:rPr>
          <w:rFonts w:cs="Times New Roman" w:ascii="Times New Roman" w:hAnsi="Times New Roman"/>
          <w:sz w:val="28"/>
          <w:szCs w:val="28"/>
        </w:rPr>
        <w:t>государственной услуги, и способы ее взимания в случаях,</w:t>
      </w:r>
    </w:p>
    <w:p>
      <w:pPr>
        <w:pStyle w:val="ConsPlusNormal"/>
        <w:jc w:val="center"/>
        <w:rPr>
          <w:rFonts w:ascii="Times New Roman" w:hAnsi="Times New Roman" w:cs="Times New Roman"/>
          <w:sz w:val="28"/>
          <w:szCs w:val="28"/>
        </w:rPr>
      </w:pPr>
      <w:r>
        <w:rPr>
          <w:rFonts w:cs="Times New Roman" w:ascii="Times New Roman" w:hAnsi="Times New Roman"/>
          <w:sz w:val="28"/>
          <w:szCs w:val="28"/>
        </w:rPr>
        <w:t>предусмотренных федеральными законами, принимаемыми в</w:t>
      </w:r>
    </w:p>
    <w:p>
      <w:pPr>
        <w:pStyle w:val="ConsPlusNormal"/>
        <w:jc w:val="center"/>
        <w:rPr>
          <w:rFonts w:ascii="Times New Roman" w:hAnsi="Times New Roman" w:cs="Times New Roman"/>
          <w:sz w:val="28"/>
          <w:szCs w:val="28"/>
        </w:rPr>
      </w:pPr>
      <w:r>
        <w:rPr>
          <w:rFonts w:cs="Times New Roman" w:ascii="Times New Roman" w:hAnsi="Times New Roman"/>
          <w:sz w:val="28"/>
          <w:szCs w:val="28"/>
        </w:rPr>
        <w:t>соответствии с ними иными нормативными правовыми актами</w:t>
      </w:r>
    </w:p>
    <w:p>
      <w:pPr>
        <w:pStyle w:val="ConsPlusNormal"/>
        <w:jc w:val="center"/>
        <w:rPr>
          <w:rFonts w:ascii="Times New Roman" w:hAnsi="Times New Roman" w:cs="Times New Roman"/>
          <w:sz w:val="28"/>
          <w:szCs w:val="28"/>
        </w:rPr>
      </w:pPr>
      <w:r>
        <w:rPr>
          <w:rFonts w:cs="Times New Roman" w:ascii="Times New Roman" w:hAnsi="Times New Roman"/>
          <w:sz w:val="28"/>
          <w:szCs w:val="28"/>
        </w:rPr>
        <w:t>Российской Федерации, нормативными правовыми актами</w:t>
      </w:r>
    </w:p>
    <w:p>
      <w:pPr>
        <w:pStyle w:val="ConsPlusNormal"/>
        <w:jc w:val="center"/>
        <w:rPr>
          <w:rFonts w:ascii="Times New Roman" w:hAnsi="Times New Roman" w:cs="Times New Roman"/>
          <w:sz w:val="28"/>
          <w:szCs w:val="28"/>
        </w:rPr>
      </w:pPr>
      <w:r>
        <w:rPr>
          <w:rFonts w:cs="Times New Roman" w:ascii="Times New Roman" w:hAnsi="Times New Roman"/>
          <w:sz w:val="28"/>
          <w:szCs w:val="28"/>
        </w:rPr>
        <w:t>Псковской области</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t>Предоставление государственной услуги осуществляется бесплатно.</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center"/>
        <w:outlineLvl w:val="2"/>
        <w:rPr>
          <w:rFonts w:ascii="Times New Roman" w:hAnsi="Times New Roman" w:cs="Times New Roman"/>
          <w:sz w:val="28"/>
          <w:szCs w:val="28"/>
        </w:rPr>
      </w:pPr>
      <w:r>
        <w:rPr>
          <w:rFonts w:cs="Times New Roman" w:ascii="Times New Roman" w:hAnsi="Times New Roman"/>
          <w:sz w:val="28"/>
          <w:szCs w:val="28"/>
        </w:rPr>
        <w:t>10. Максимальный срок ожидания в очереди при</w:t>
      </w:r>
    </w:p>
    <w:p>
      <w:pPr>
        <w:pStyle w:val="ConsPlusNormal"/>
        <w:jc w:val="center"/>
        <w:rPr>
          <w:rFonts w:ascii="Times New Roman" w:hAnsi="Times New Roman" w:cs="Times New Roman"/>
          <w:sz w:val="28"/>
          <w:szCs w:val="28"/>
        </w:rPr>
      </w:pPr>
      <w:r>
        <w:rPr>
          <w:rFonts w:cs="Times New Roman" w:ascii="Times New Roman" w:hAnsi="Times New Roman"/>
          <w:sz w:val="28"/>
          <w:szCs w:val="28"/>
        </w:rPr>
        <w:t>подаче заявления о предоставлении государственной</w:t>
      </w:r>
    </w:p>
    <w:p>
      <w:pPr>
        <w:pStyle w:val="ConsPlusNormal"/>
        <w:jc w:val="center"/>
        <w:rPr>
          <w:rFonts w:ascii="Times New Roman" w:hAnsi="Times New Roman" w:cs="Times New Roman"/>
          <w:sz w:val="28"/>
          <w:szCs w:val="28"/>
        </w:rPr>
      </w:pPr>
      <w:r>
        <w:rPr>
          <w:rFonts w:cs="Times New Roman" w:ascii="Times New Roman" w:hAnsi="Times New Roman"/>
          <w:sz w:val="28"/>
          <w:szCs w:val="28"/>
        </w:rPr>
        <w:t>услуги, при получении результата предоставления</w:t>
      </w:r>
    </w:p>
    <w:p>
      <w:pPr>
        <w:pStyle w:val="ConsPlusNormal"/>
        <w:jc w:val="center"/>
        <w:rPr>
          <w:rFonts w:ascii="Times New Roman" w:hAnsi="Times New Roman" w:cs="Times New Roman"/>
          <w:sz w:val="28"/>
          <w:szCs w:val="28"/>
        </w:rPr>
      </w:pPr>
      <w:r>
        <w:rPr>
          <w:rFonts w:cs="Times New Roman" w:ascii="Times New Roman" w:hAnsi="Times New Roman"/>
          <w:sz w:val="28"/>
          <w:szCs w:val="28"/>
        </w:rPr>
        <w:t>государственной услуги</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t>При подаче заявки и при получении результата предоставления государственной услуги либо при обращении заявителя по вопросам, связанным с предоставлением государственной услуги, время ожидания в очереди не должно превышать 15 минут.</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center"/>
        <w:outlineLvl w:val="2"/>
        <w:rPr>
          <w:rFonts w:ascii="Times New Roman" w:hAnsi="Times New Roman" w:cs="Times New Roman"/>
          <w:sz w:val="28"/>
          <w:szCs w:val="28"/>
        </w:rPr>
      </w:pPr>
      <w:bookmarkStart w:id="10" w:name="P159"/>
      <w:bookmarkEnd w:id="10"/>
      <w:r>
        <w:rPr>
          <w:rFonts w:cs="Times New Roman" w:ascii="Times New Roman" w:hAnsi="Times New Roman"/>
          <w:sz w:val="28"/>
          <w:szCs w:val="28"/>
        </w:rPr>
        <w:t>11. Срок регистрации заявки</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t>Заявка и прилагаемые к ней документы, поступившие в Комитет лично от заявителя, в виде почтового отправления, а также с использованием Единого портала государственных услуг или Портала государственных и муниципальных услуг Псковской области, регистрируются в установленном порядке сотрудником Комитета, в должностные обязанности которого входит регистрация входящей корреспонденции, в течение одного рабочего со дня поступления.</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center"/>
        <w:outlineLvl w:val="2"/>
        <w:rPr>
          <w:rFonts w:ascii="Times New Roman" w:hAnsi="Times New Roman" w:cs="Times New Roman"/>
          <w:sz w:val="28"/>
          <w:szCs w:val="28"/>
        </w:rPr>
      </w:pPr>
      <w:r>
        <w:rPr>
          <w:rFonts w:cs="Times New Roman" w:ascii="Times New Roman" w:hAnsi="Times New Roman"/>
          <w:sz w:val="28"/>
          <w:szCs w:val="28"/>
        </w:rPr>
        <w:t>12. Требования к помещениям, в которых предоставляется</w:t>
      </w:r>
    </w:p>
    <w:p>
      <w:pPr>
        <w:pStyle w:val="ConsPlusNormal"/>
        <w:jc w:val="center"/>
        <w:rPr>
          <w:rFonts w:ascii="Times New Roman" w:hAnsi="Times New Roman" w:cs="Times New Roman"/>
          <w:sz w:val="28"/>
          <w:szCs w:val="28"/>
        </w:rPr>
      </w:pPr>
      <w:r>
        <w:rPr>
          <w:rFonts w:cs="Times New Roman" w:ascii="Times New Roman" w:hAnsi="Times New Roman"/>
          <w:sz w:val="28"/>
          <w:szCs w:val="28"/>
        </w:rPr>
        <w:t>государственная услуга, к залу ожидания, местам для</w:t>
      </w:r>
    </w:p>
    <w:p>
      <w:pPr>
        <w:pStyle w:val="ConsPlusNormal"/>
        <w:jc w:val="center"/>
        <w:rPr>
          <w:rFonts w:ascii="Times New Roman" w:hAnsi="Times New Roman" w:cs="Times New Roman"/>
          <w:sz w:val="28"/>
          <w:szCs w:val="28"/>
        </w:rPr>
      </w:pPr>
      <w:r>
        <w:rPr>
          <w:rFonts w:cs="Times New Roman" w:ascii="Times New Roman" w:hAnsi="Times New Roman"/>
          <w:sz w:val="28"/>
          <w:szCs w:val="28"/>
        </w:rPr>
        <w:t>заполнения заявления о предоставлении государственной</w:t>
      </w:r>
    </w:p>
    <w:p>
      <w:pPr>
        <w:pStyle w:val="ConsPlusNormal"/>
        <w:jc w:val="center"/>
        <w:rPr>
          <w:rFonts w:ascii="Times New Roman" w:hAnsi="Times New Roman" w:cs="Times New Roman"/>
          <w:sz w:val="28"/>
          <w:szCs w:val="28"/>
        </w:rPr>
      </w:pPr>
      <w:r>
        <w:rPr>
          <w:rFonts w:cs="Times New Roman" w:ascii="Times New Roman" w:hAnsi="Times New Roman"/>
          <w:sz w:val="28"/>
          <w:szCs w:val="28"/>
        </w:rPr>
        <w:t>услуги, в том числе к обеспечению доступности для инвалидов</w:t>
      </w:r>
    </w:p>
    <w:p>
      <w:pPr>
        <w:pStyle w:val="ConsPlusNormal"/>
        <w:jc w:val="center"/>
        <w:rPr>
          <w:rFonts w:ascii="Times New Roman" w:hAnsi="Times New Roman" w:cs="Times New Roman"/>
          <w:sz w:val="28"/>
          <w:szCs w:val="28"/>
        </w:rPr>
      </w:pPr>
      <w:r>
        <w:rPr>
          <w:rFonts w:cs="Times New Roman" w:ascii="Times New Roman" w:hAnsi="Times New Roman"/>
          <w:sz w:val="28"/>
          <w:szCs w:val="28"/>
        </w:rPr>
        <w:t>указанных объектов в соответствии с законодательством</w:t>
      </w:r>
    </w:p>
    <w:p>
      <w:pPr>
        <w:pStyle w:val="ConsPlusNormal"/>
        <w:jc w:val="center"/>
        <w:rPr>
          <w:rFonts w:ascii="Times New Roman" w:hAnsi="Times New Roman" w:cs="Times New Roman"/>
          <w:sz w:val="28"/>
          <w:szCs w:val="28"/>
        </w:rPr>
      </w:pPr>
      <w:r>
        <w:rPr>
          <w:rFonts w:cs="Times New Roman" w:ascii="Times New Roman" w:hAnsi="Times New Roman"/>
          <w:sz w:val="28"/>
          <w:szCs w:val="28"/>
        </w:rPr>
        <w:t>Российской Федерации о социальной защите инвалидов,</w:t>
      </w:r>
    </w:p>
    <w:p>
      <w:pPr>
        <w:pStyle w:val="ConsPlusNormal"/>
        <w:jc w:val="center"/>
        <w:rPr>
          <w:rFonts w:ascii="Times New Roman" w:hAnsi="Times New Roman" w:cs="Times New Roman"/>
          <w:sz w:val="28"/>
          <w:szCs w:val="28"/>
        </w:rPr>
      </w:pPr>
      <w:r>
        <w:rPr>
          <w:rFonts w:cs="Times New Roman" w:ascii="Times New Roman" w:hAnsi="Times New Roman"/>
          <w:sz w:val="28"/>
          <w:szCs w:val="28"/>
        </w:rPr>
        <w:t>информационным стендам с образцами их заполнения и</w:t>
      </w:r>
    </w:p>
    <w:p>
      <w:pPr>
        <w:pStyle w:val="ConsPlusNormal"/>
        <w:jc w:val="center"/>
        <w:rPr>
          <w:rFonts w:ascii="Times New Roman" w:hAnsi="Times New Roman" w:cs="Times New Roman"/>
          <w:sz w:val="28"/>
          <w:szCs w:val="28"/>
        </w:rPr>
      </w:pPr>
      <w:r>
        <w:rPr>
          <w:rFonts w:cs="Times New Roman" w:ascii="Times New Roman" w:hAnsi="Times New Roman"/>
          <w:sz w:val="28"/>
          <w:szCs w:val="28"/>
        </w:rPr>
        <w:t>перечнем документов, необходимых для предоставления</w:t>
      </w:r>
    </w:p>
    <w:p>
      <w:pPr>
        <w:pStyle w:val="ConsPlusNormal"/>
        <w:jc w:val="center"/>
        <w:rPr>
          <w:rFonts w:ascii="Times New Roman" w:hAnsi="Times New Roman" w:cs="Times New Roman"/>
          <w:sz w:val="28"/>
          <w:szCs w:val="28"/>
        </w:rPr>
      </w:pPr>
      <w:r>
        <w:rPr>
          <w:rFonts w:cs="Times New Roman" w:ascii="Times New Roman" w:hAnsi="Times New Roman"/>
          <w:sz w:val="28"/>
          <w:szCs w:val="28"/>
        </w:rPr>
        <w:t>государственной услуги</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t>Государственная услуга предоставляется в помещениях Комитета.</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Вход в помещения предоставления государственной услуги оснащается вывеской о наименовании Комитета, сами помещения оснащаются табличками с указанием номера кабинета, названия подразделения Комитета, в функции которого входит предоставление государственной услуги.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Для ожидания в очереди и для заполнения заявлений заявителям отводятся места, оборудованные стульями или скамьями, столами для возможности оформления документов. При необходимости заявителю предоставляются бесплатно канцелярские принадлежности.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На информационных стендах размещаются:</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1) перечень документов, необходимых для предоставления государственной услуги;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2) информация о месте предоставления государственной услуги, контактных телефонах;</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3) информация о сроке предоставления государственной услуги;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4) перечень нормативных правовых актов, являющихся основанием для предоставления государственной услуги;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5) перечень сотрудников Комитета, в должностные обязанности которых входит предоставление государственной услуги (далее - ответственные сотрудники);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6) копия настоящего Административного регламента.</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Здание Комитета, кабинеты, предназначенные для предоставления государственной услуги, должны отвечать требованиям доступности для инвалидов (включая инвалидов, использующих кресла-коляски и собак-проводников), с учетом ограничений их жизнедеятельности должны быть предоставлены условия для беспрепятственного доступа к помещению, в котором предоставляется государственная услуга, месту ожидания, месту для заполнения запросов о предоставлении государственной услуги, в том числе:</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1) условия для беспрепятственного доступа в кабинет, в котором осуществляется предоставление государственной услуги, в которых осуществляется предоставление услуги;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2) возможность самостоятельного передвижения по территории, на которой расположены объекты (здание, кабинет), в которых осуществляется предоставление государственной услуги;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3) сопровождение инвалидов, имеющих стойкие расстройства функции зрения и самостоятельного передвижения, оказания им помощи в здании Комитета, кабинете, в которых осуществляется предоставление услуги;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4) надлежащее размещение оборудования и носителей информации, необходимых для обеспечения беспрепятственного доступа инвалидов к объектам (зданию, кабинету), в которых осуществляется предоставление государственной услуги, и к услугам с учетом ограничений их жизнедеятельности;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6) допуск сурдопереводчика и тифлосурдопереводчика в здание Комитета, кабинет, в которых осуществляется предоставление государственной услуги;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7) допуск в здание Комитета, кабинет, в которых осуществляется предоставление государственной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8) оказание сотрудниками Комитета помощи инвалидам в преодолении барьеров, мешающих получению ими услуг наравне с другими лицами.</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center"/>
        <w:outlineLvl w:val="2"/>
        <w:rPr>
          <w:rFonts w:ascii="Times New Roman" w:hAnsi="Times New Roman" w:cs="Times New Roman"/>
          <w:sz w:val="28"/>
          <w:szCs w:val="28"/>
        </w:rPr>
      </w:pPr>
      <w:r>
        <w:rPr>
          <w:rFonts w:cs="Times New Roman" w:ascii="Times New Roman" w:hAnsi="Times New Roman"/>
          <w:sz w:val="28"/>
          <w:szCs w:val="28"/>
        </w:rPr>
        <w:t>13. Показатели доступности и качества государственной услуги</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t>13.1. Показателями доступности государственной услуги являются:</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1) предоставление информации о государственной услуге в соответствии с пунктом 3.2 подраздела 3 раздела I настоящего Административного регламента;</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2) полнота предоставляемой информации о государственной услуге;</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3) возможность предоставления государственной услуги в электронной форме с использованием Единого портала государственных услуг и Портала государственных и муниципальных услуг Псковской области;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4) обеспечение беспрепятственного доступа инвалидов к помещениям, в которых предоставляется государственная услуга.</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13.2. Показателями качества государственной услуги являются:</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1) соблюдение сроков и последовательности выполнения всех административных процедур, предусмотренных настоящим Административным регламентом;</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2) количество установленных в соответствии с разделами IV - V настоящего Административного регламента фактов ненадлежащего исполнения Административного регламента;</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3) количество обоснованных жалоб на решения и действия (бездействия) сотрудников Комитета.</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13.3. Взаимодействие заявителя с должностными лицами Комитета осуществляется при личном приеме граждан в соответствии с графиком приема граждан в Комитете:</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при подаче документов, необходимых для предоставления государственной услуги;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при обращении заявителя за получением информации о ходе предоставления государственной услуги;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при получении результата предоставления государственной услуги.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Продолжительность взаимодействия заявителя с должностными лицами Комитета при предоставлении государственной услуги составляет не более 20 минут.</w:t>
      </w:r>
    </w:p>
    <w:p>
      <w:pPr>
        <w:pStyle w:val="ConsPlusNormal"/>
        <w:numPr>
          <w:ilvl w:val="0"/>
          <w:numId w:val="0"/>
        </w:numPr>
        <w:jc w:val="center"/>
        <w:outlineLvl w:val="2"/>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center"/>
        <w:outlineLvl w:val="2"/>
        <w:rPr>
          <w:rFonts w:ascii="Times New Roman" w:hAnsi="Times New Roman" w:cs="Times New Roman"/>
          <w:sz w:val="28"/>
          <w:szCs w:val="28"/>
        </w:rPr>
      </w:pPr>
      <w:r>
        <w:rPr>
          <w:rFonts w:cs="Times New Roman" w:ascii="Times New Roman" w:hAnsi="Times New Roman"/>
          <w:sz w:val="28"/>
          <w:szCs w:val="28"/>
        </w:rPr>
        <w:t>14. Иные требования, в том числе учитывающие</w:t>
      </w:r>
    </w:p>
    <w:p>
      <w:pPr>
        <w:pStyle w:val="ConsPlusNormal"/>
        <w:jc w:val="center"/>
        <w:rPr>
          <w:rFonts w:ascii="Times New Roman" w:hAnsi="Times New Roman" w:cs="Times New Roman"/>
          <w:sz w:val="28"/>
          <w:szCs w:val="28"/>
        </w:rPr>
      </w:pPr>
      <w:r>
        <w:rPr>
          <w:rFonts w:cs="Times New Roman" w:ascii="Times New Roman" w:hAnsi="Times New Roman"/>
          <w:sz w:val="28"/>
          <w:szCs w:val="28"/>
        </w:rPr>
        <w:t>особенности предоставления государственной услуги</w:t>
      </w:r>
    </w:p>
    <w:p>
      <w:pPr>
        <w:pStyle w:val="ConsPlusNormal"/>
        <w:jc w:val="center"/>
        <w:rPr>
          <w:rFonts w:ascii="Times New Roman" w:hAnsi="Times New Roman" w:cs="Times New Roman"/>
          <w:sz w:val="28"/>
          <w:szCs w:val="28"/>
        </w:rPr>
      </w:pPr>
      <w:r>
        <w:rPr>
          <w:rFonts w:cs="Times New Roman" w:ascii="Times New Roman" w:hAnsi="Times New Roman"/>
          <w:sz w:val="28"/>
          <w:szCs w:val="28"/>
        </w:rPr>
        <w:t>в электронной и иной форме</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t>14.1. Государственная услуга может предоставляться в электронной форме с использованием Единого портала государственных услуг и Портала государственных и муниципальных услуг Псковской области при наличии технической возможности путем осуществления:</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1) предоставления в установленном порядке информации заявителям и обеспечения доступа заявителей к сведениям о государственной услуге;</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2) подачи заявителем заявки и документов, необходимых для предоставления государственной услуги, и прием таких заявок и документов Комитетом с использованием Единого портала государственных услуг и Портала государственных и муниципальных услуг Псковской области;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3) получения заявителем сведений о ходе рассмотрения заявки;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4) получения заявителем сообщения об отказе в приеме документов либо уведомления об отказе в предоставлении государственной услуги, если иное не установлено федеральным законом.</w:t>
      </w:r>
    </w:p>
    <w:p>
      <w:pPr>
        <w:pStyle w:val="ConsPlusNormal"/>
        <w:jc w:val="center"/>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center"/>
        <w:outlineLvl w:val="1"/>
        <w:rPr>
          <w:rFonts w:ascii="Times New Roman" w:hAnsi="Times New Roman" w:cs="Times New Roman"/>
          <w:sz w:val="28"/>
          <w:szCs w:val="28"/>
        </w:rPr>
      </w:pPr>
      <w:r>
        <w:rPr>
          <w:rFonts w:cs="Times New Roman" w:ascii="Times New Roman" w:hAnsi="Times New Roman"/>
          <w:sz w:val="28"/>
          <w:szCs w:val="28"/>
        </w:rPr>
        <w:t>III. Состав, последовательность и сроки выполнения</w:t>
      </w:r>
    </w:p>
    <w:p>
      <w:pPr>
        <w:pStyle w:val="ConsPlusNormal"/>
        <w:jc w:val="center"/>
        <w:rPr>
          <w:rFonts w:ascii="Times New Roman" w:hAnsi="Times New Roman" w:cs="Times New Roman"/>
          <w:sz w:val="28"/>
          <w:szCs w:val="28"/>
        </w:rPr>
      </w:pPr>
      <w:r>
        <w:rPr>
          <w:rFonts w:cs="Times New Roman" w:ascii="Times New Roman" w:hAnsi="Times New Roman"/>
          <w:sz w:val="28"/>
          <w:szCs w:val="28"/>
        </w:rPr>
        <w:t>административных процедур, требования к порядку их</w:t>
      </w:r>
    </w:p>
    <w:p>
      <w:pPr>
        <w:pStyle w:val="ConsPlusNormal"/>
        <w:jc w:val="center"/>
        <w:rPr>
          <w:rFonts w:ascii="Times New Roman" w:hAnsi="Times New Roman" w:cs="Times New Roman"/>
          <w:sz w:val="28"/>
          <w:szCs w:val="28"/>
        </w:rPr>
      </w:pPr>
      <w:r>
        <w:rPr>
          <w:rFonts w:cs="Times New Roman" w:ascii="Times New Roman" w:hAnsi="Times New Roman"/>
          <w:sz w:val="28"/>
          <w:szCs w:val="28"/>
        </w:rPr>
        <w:t>выполнения, в том числе особенности выполнения</w:t>
      </w:r>
    </w:p>
    <w:p>
      <w:pPr>
        <w:pStyle w:val="ConsPlusNormal"/>
        <w:jc w:val="center"/>
        <w:rPr>
          <w:rFonts w:ascii="Times New Roman" w:hAnsi="Times New Roman" w:cs="Times New Roman"/>
          <w:sz w:val="28"/>
          <w:szCs w:val="28"/>
        </w:rPr>
      </w:pPr>
      <w:r>
        <w:rPr>
          <w:rFonts w:cs="Times New Roman" w:ascii="Times New Roman" w:hAnsi="Times New Roman"/>
          <w:sz w:val="28"/>
          <w:szCs w:val="28"/>
        </w:rPr>
        <w:t>административных процедур в электронной форме</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t>Предоставление государственной услуги включает в себя следующие административные процедуры:</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1) прием и регистрация заявки с прилагаемыми документами;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2) рассмотрение заявки с прилагаемыми документами;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3) вручение или направление заявителю проекта договора о закреплении доли квоты добычи (вылова) водных биологических ресурсов по форме утвержденной постановлением Правительства Российской Федерации от 23.08.2018 № 987 «О распределении квот добычи (вылова) водных биологических ресурсов в соответствии с частью 12 статьи 31 Федерального Закона «О рыболовстве и сохранении водных биологических ресурсов» и признании утратившими силу некоторых актов Правительства Российской Федерации» либо уведомления об отказе в заключении договора о закреплении доли квоты добычи (вылова) водных биологических ресурсов.</w:t>
      </w:r>
    </w:p>
    <w:p>
      <w:pPr>
        <w:pStyle w:val="ConsPlusNormal"/>
        <w:ind w:firstLine="540"/>
        <w:jc w:val="both"/>
        <w:rPr>
          <w:rFonts w:ascii="Times New Roman" w:hAnsi="Times New Roman" w:cs="Times New Roman"/>
          <w:sz w:val="28"/>
          <w:szCs w:val="28"/>
          <w:highlight w:val="cyan"/>
        </w:rPr>
      </w:pPr>
      <w:r>
        <w:rPr>
          <w:rFonts w:cs="Times New Roman" w:ascii="Times New Roman" w:hAnsi="Times New Roman"/>
          <w:sz w:val="28"/>
          <w:szCs w:val="28"/>
          <w:highlight w:val="cyan"/>
        </w:rPr>
      </w:r>
    </w:p>
    <w:p>
      <w:pPr>
        <w:pStyle w:val="ConsPlusNormal"/>
        <w:numPr>
          <w:ilvl w:val="0"/>
          <w:numId w:val="0"/>
        </w:numPr>
        <w:jc w:val="center"/>
        <w:outlineLvl w:val="2"/>
        <w:rPr>
          <w:rFonts w:ascii="Times New Roman" w:hAnsi="Times New Roman" w:cs="Times New Roman"/>
          <w:sz w:val="28"/>
          <w:szCs w:val="28"/>
        </w:rPr>
      </w:pPr>
      <w:r>
        <w:rPr>
          <w:rFonts w:cs="Times New Roman" w:ascii="Times New Roman" w:hAnsi="Times New Roman"/>
          <w:sz w:val="28"/>
          <w:szCs w:val="28"/>
        </w:rPr>
        <w:t>1. Административная процедура «Прием и регистрация</w:t>
      </w:r>
    </w:p>
    <w:p>
      <w:pPr>
        <w:pStyle w:val="ConsPlusNormal"/>
        <w:jc w:val="center"/>
        <w:rPr>
          <w:rFonts w:ascii="Times New Roman" w:hAnsi="Times New Roman" w:cs="Times New Roman"/>
          <w:sz w:val="28"/>
          <w:szCs w:val="28"/>
        </w:rPr>
      </w:pPr>
      <w:r>
        <w:rPr>
          <w:rFonts w:cs="Times New Roman" w:ascii="Times New Roman" w:hAnsi="Times New Roman"/>
          <w:sz w:val="28"/>
          <w:szCs w:val="28"/>
        </w:rPr>
        <w:t>заявки с прилагаемыми документами»</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t>1.1. Основанием для начала осуществления административной процедуры является поступление заявки с прилагаемыми документами в Комитет.</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1.2. Заявка с прилагаемыми документами, поступившая в Комитет, регистрируется в тот же день и передается в отдел водных биоресурсов Комитета.</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1.3. При поступлении заявки с прилагаемыми документами в форме электронного документа с использованием Единого портала государственных услуг, Портала государственных и муниципальных услуг Псковской области заявителю направляется информация о дате регистрации и входящем номере.</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При поступлении заявки с прилагаемыми документами в форме электронного документа при наличии оснований, указанных в пункте 7.1 подраздела 7 раздела II настоящего Административного регламента, заявителю в течение двух дней со дня поступления заявки с прилагаемыми документами сообщается по электронной почте или с использованием Единого портала государственных услуг, Портала государственных и муниципальных услуг Псковской области об отказе в приеме документов.</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1.4. Результатом исполнения административной процедуры является регистрация заявки с прилагаемыми документами и передача ее в отдел водных биоресурсов Комитета.</w:t>
      </w:r>
    </w:p>
    <w:p>
      <w:pPr>
        <w:pStyle w:val="ConsPlusNormal"/>
        <w:ind w:firstLine="540"/>
        <w:jc w:val="both"/>
        <w:rPr>
          <w:rFonts w:ascii="Times New Roman" w:hAnsi="Times New Roman" w:cs="Times New Roman"/>
          <w:sz w:val="28"/>
          <w:szCs w:val="28"/>
          <w:highlight w:val="cyan"/>
        </w:rPr>
      </w:pPr>
      <w:r>
        <w:rPr>
          <w:rFonts w:cs="Times New Roman" w:ascii="Times New Roman" w:hAnsi="Times New Roman"/>
          <w:sz w:val="28"/>
          <w:szCs w:val="28"/>
          <w:highlight w:val="cyan"/>
        </w:rPr>
      </w:r>
    </w:p>
    <w:p>
      <w:pPr>
        <w:pStyle w:val="ConsPlusNormal"/>
        <w:numPr>
          <w:ilvl w:val="0"/>
          <w:numId w:val="0"/>
        </w:numPr>
        <w:jc w:val="center"/>
        <w:outlineLvl w:val="2"/>
        <w:rPr>
          <w:rFonts w:ascii="Times New Roman" w:hAnsi="Times New Roman" w:cs="Times New Roman"/>
          <w:sz w:val="28"/>
          <w:szCs w:val="28"/>
        </w:rPr>
      </w:pPr>
      <w:r>
        <w:rPr>
          <w:rFonts w:cs="Times New Roman" w:ascii="Times New Roman" w:hAnsi="Times New Roman"/>
          <w:sz w:val="28"/>
          <w:szCs w:val="28"/>
        </w:rPr>
        <w:t>2. Административная процедура «Рассмотрение</w:t>
      </w:r>
    </w:p>
    <w:p>
      <w:pPr>
        <w:pStyle w:val="ConsPlusNormal"/>
        <w:jc w:val="center"/>
        <w:rPr>
          <w:rFonts w:ascii="Times New Roman" w:hAnsi="Times New Roman" w:cs="Times New Roman"/>
          <w:sz w:val="28"/>
          <w:szCs w:val="28"/>
        </w:rPr>
      </w:pPr>
      <w:r>
        <w:rPr>
          <w:rFonts w:cs="Times New Roman" w:ascii="Times New Roman" w:hAnsi="Times New Roman"/>
          <w:sz w:val="28"/>
          <w:szCs w:val="28"/>
        </w:rPr>
        <w:t>заявки с прилагаемыми документами»</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t>2.1. Основанием для начала осуществления административной процедуры является поступление в отдел водных биоресурсов Комитета зарегистрированной заявки с прилагаемыми документами и передача ее на рассмотрение ответственному сотруднику.</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2.2. Ответственный сотрудник в течение одного рабочего дня со дня передачи ему зарегистрированной заявки и прилагаемых к ней документов запрашивает в налоговых органах по месту нахождения заявителя выписку из Единого государственного реестра юридических лиц (для юридических лиц) либо выписку из Единого государственного реестра индивидуальных предпринимателей (для индивидуальных предпринимателей), в случае, если заявитель не представил указанные документы самостоятельно в соответствии с пунктом 6.7 раздела II настоящего Административного регламента.</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 xml:space="preserve">2.3. Федеральная налоговая служба в течение одного рабочего дня со дня получения запроса представляет в Комитет сведения, указанные в подпункте 2.2 пункта 2 раздела </w:t>
      </w:r>
      <w:r>
        <w:rPr>
          <w:rFonts w:cs="Times New Roman" w:ascii="Times New Roman" w:hAnsi="Times New Roman"/>
          <w:sz w:val="28"/>
          <w:szCs w:val="28"/>
          <w:lang w:val="en-US"/>
        </w:rPr>
        <w:t>III</w:t>
      </w:r>
      <w:r>
        <w:rPr>
          <w:rFonts w:cs="Times New Roman" w:ascii="Times New Roman" w:hAnsi="Times New Roman"/>
          <w:sz w:val="28"/>
          <w:szCs w:val="28"/>
        </w:rPr>
        <w:t xml:space="preserve"> настоящего Административного регламента, в форме, в которой поступил запрос.</w:t>
      </w:r>
    </w:p>
    <w:p>
      <w:pPr>
        <w:pStyle w:val="ConsPlusNormal"/>
        <w:spacing w:before="220" w:after="0"/>
        <w:ind w:firstLine="540"/>
        <w:jc w:val="both"/>
        <w:rPr/>
      </w:pPr>
      <w:bookmarkStart w:id="11" w:name="P95"/>
      <w:bookmarkEnd w:id="11"/>
      <w:r>
        <w:rPr>
          <w:rFonts w:cs="Times New Roman" w:ascii="Times New Roman" w:hAnsi="Times New Roman"/>
          <w:sz w:val="28"/>
          <w:szCs w:val="28"/>
        </w:rPr>
        <w:t xml:space="preserve">2.4. Ответственный сотрудник в течение одного рабочего дня со дня поступления заявки и прилагаемых к ней документов запрашивает посредством межведомственного запроса, в том числе в электронной форме с использованием единой системы межведомственного электронного взаимодействия, в Федеральной антимонопольной службе в отношении заявителя сведения о решении Федеральной антимонопольной службы, оформленном на основании решения Правительственной комиссии по контролю за осуществлением иностранных инвестиций в Российской Федерации (в случае, если в заявке указано, что контроль иностранного инвестора в отношении заявителя установлен в порядке, предусмотренном Федеральным </w:t>
      </w:r>
      <w:hyperlink r:id="rId8">
        <w:r>
          <w:rPr>
            <w:rStyle w:val="Style17"/>
            <w:rFonts w:cs="Times New Roman" w:ascii="Times New Roman" w:hAnsi="Times New Roman"/>
            <w:sz w:val="28"/>
            <w:szCs w:val="28"/>
          </w:rPr>
          <w:t>законом</w:t>
        </w:r>
      </w:hyperlink>
      <w:r>
        <w:rPr>
          <w:rFonts w:cs="Times New Roman" w:ascii="Times New Roman" w:hAnsi="Times New Roman"/>
          <w:sz w:val="28"/>
          <w:szCs w:val="28"/>
        </w:rPr>
        <w:t xml:space="preserve">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pPr>
        <w:pStyle w:val="ConsPlusNormal"/>
        <w:spacing w:before="220" w:after="0"/>
        <w:ind w:firstLine="540"/>
        <w:jc w:val="both"/>
        <w:rPr>
          <w:rFonts w:ascii="Times New Roman" w:hAnsi="Times New Roman" w:cs="Times New Roman"/>
          <w:sz w:val="28"/>
          <w:szCs w:val="28"/>
        </w:rPr>
      </w:pPr>
      <w:bookmarkStart w:id="12" w:name="P96"/>
      <w:bookmarkEnd w:id="12"/>
      <w:r>
        <w:rPr>
          <w:rFonts w:cs="Times New Roman" w:ascii="Times New Roman" w:hAnsi="Times New Roman"/>
          <w:sz w:val="28"/>
          <w:szCs w:val="28"/>
        </w:rPr>
        <w:t xml:space="preserve">2.5. Федеральная антимонопольная служба в течение одного рабочего дня со дня получения межведомственного запроса представляет в уполномоченный орган копию решения Федеральной антимонопольной службы, указанного в подпункте 2.4 пункта 2 раздела </w:t>
      </w:r>
      <w:r>
        <w:rPr>
          <w:rFonts w:cs="Times New Roman" w:ascii="Times New Roman" w:hAnsi="Times New Roman"/>
          <w:sz w:val="28"/>
          <w:szCs w:val="28"/>
          <w:lang w:val="en-US"/>
        </w:rPr>
        <w:t>III</w:t>
      </w:r>
      <w:r>
        <w:rPr>
          <w:rFonts w:cs="Times New Roman" w:ascii="Times New Roman" w:hAnsi="Times New Roman"/>
          <w:sz w:val="28"/>
          <w:szCs w:val="28"/>
        </w:rPr>
        <w:t xml:space="preserve"> настоящего Административного регламента, в форме, в которой поступил запрос.</w:t>
      </w:r>
    </w:p>
    <w:p>
      <w:pPr>
        <w:pStyle w:val="ConsPlusNormal"/>
        <w:spacing w:before="220" w:after="0"/>
        <w:ind w:firstLine="540"/>
        <w:jc w:val="both"/>
        <w:rPr>
          <w:rFonts w:ascii="Times New Roman" w:hAnsi="Times New Roman" w:cs="Times New Roman"/>
          <w:sz w:val="28"/>
          <w:szCs w:val="28"/>
        </w:rPr>
      </w:pPr>
      <w:bookmarkStart w:id="13" w:name="P266"/>
      <w:bookmarkEnd w:id="13"/>
      <w:r>
        <w:rPr>
          <w:rFonts w:cs="Times New Roman" w:ascii="Times New Roman" w:hAnsi="Times New Roman"/>
          <w:sz w:val="28"/>
          <w:szCs w:val="28"/>
        </w:rPr>
        <w:t xml:space="preserve">2.6. Комитет в течение одного рабочего дня со дня поступления заявки, поданной в соответствии с подпунктом «б» пункта 6.1 раздела </w:t>
      </w:r>
      <w:r>
        <w:rPr>
          <w:rFonts w:cs="Times New Roman" w:ascii="Times New Roman" w:hAnsi="Times New Roman"/>
          <w:sz w:val="28"/>
          <w:szCs w:val="28"/>
          <w:lang w:val="en-US"/>
        </w:rPr>
        <w:t>II</w:t>
      </w:r>
      <w:r>
        <w:rPr>
          <w:rFonts w:cs="Times New Roman" w:ascii="Times New Roman" w:hAnsi="Times New Roman"/>
          <w:sz w:val="28"/>
          <w:szCs w:val="28"/>
        </w:rPr>
        <w:t xml:space="preserve"> настоящего Административного регламента, и прилагаемых к ней документов запрашивает посредством межведомственного запроса, в том числе в электронной форме с использованием единой системы межведомственного электронного взаимодействия, в Федеральном агентстве по рыболовству данные государственного рыбохозяйственного реестра об объеме добытого (выловленного) заявителем вида водного биоресурса во внутреннем водном объекте, в отношении которого заявителем подана такая заявка, за 3 года, предшествующих расчетному году.</w:t>
      </w:r>
    </w:p>
    <w:p>
      <w:pPr>
        <w:pStyle w:val="ConsPlusNormal"/>
        <w:spacing w:before="220" w:after="0"/>
        <w:ind w:firstLine="540"/>
        <w:jc w:val="both"/>
        <w:rPr>
          <w:rFonts w:ascii="Times New Roman" w:hAnsi="Times New Roman" w:cs="Times New Roman"/>
          <w:sz w:val="28"/>
          <w:szCs w:val="28"/>
        </w:rPr>
      </w:pPr>
      <w:bookmarkStart w:id="14" w:name="P98"/>
      <w:bookmarkEnd w:id="14"/>
      <w:r>
        <w:rPr>
          <w:rFonts w:cs="Times New Roman" w:ascii="Times New Roman" w:hAnsi="Times New Roman"/>
          <w:sz w:val="28"/>
          <w:szCs w:val="28"/>
        </w:rPr>
        <w:t xml:space="preserve">2.7. Федеральное агентство по рыболовству в течение пяти рабочих дней со дня получения запроса представляет в Комитет сведения, указанные в подпункте 2.6 пункта 2 раздела </w:t>
      </w:r>
      <w:r>
        <w:rPr>
          <w:rFonts w:cs="Times New Roman" w:ascii="Times New Roman" w:hAnsi="Times New Roman"/>
          <w:sz w:val="28"/>
          <w:szCs w:val="28"/>
          <w:lang w:val="en-US"/>
        </w:rPr>
        <w:t>III</w:t>
      </w:r>
      <w:r>
        <w:rPr>
          <w:rFonts w:cs="Times New Roman" w:ascii="Times New Roman" w:hAnsi="Times New Roman"/>
          <w:sz w:val="28"/>
          <w:szCs w:val="28"/>
        </w:rPr>
        <w:t xml:space="preserve"> настоящего Административного регламента, в форме, в которой поступил запрос.</w:t>
      </w:r>
    </w:p>
    <w:p>
      <w:pPr>
        <w:pStyle w:val="ConsPlusNormal"/>
        <w:spacing w:before="220" w:after="0"/>
        <w:ind w:firstLine="540"/>
        <w:jc w:val="both"/>
        <w:rPr>
          <w:rFonts w:ascii="Times New Roman" w:hAnsi="Times New Roman" w:cs="Times New Roman"/>
          <w:sz w:val="28"/>
          <w:szCs w:val="28"/>
        </w:rPr>
      </w:pPr>
      <w:bookmarkStart w:id="15" w:name="P99"/>
      <w:bookmarkEnd w:id="15"/>
      <w:r>
        <w:rPr>
          <w:rFonts w:cs="Times New Roman" w:ascii="Times New Roman" w:hAnsi="Times New Roman"/>
          <w:sz w:val="28"/>
          <w:szCs w:val="28"/>
        </w:rPr>
        <w:t xml:space="preserve">2.8. Заявитель вправе по собственной инициативе представить в Комитет в форме, в которой была подана заявка, документы, подтверждающие сведения, указанные в подпунктах 2.2, 2.4 и 2.6 пункта 2 раздела </w:t>
      </w:r>
      <w:r>
        <w:rPr>
          <w:rFonts w:cs="Times New Roman" w:ascii="Times New Roman" w:hAnsi="Times New Roman"/>
          <w:sz w:val="28"/>
          <w:szCs w:val="28"/>
          <w:lang w:val="en-US"/>
        </w:rPr>
        <w:t>III</w:t>
      </w:r>
      <w:r>
        <w:rPr>
          <w:rFonts w:cs="Times New Roman" w:ascii="Times New Roman" w:hAnsi="Times New Roman"/>
          <w:sz w:val="28"/>
          <w:szCs w:val="28"/>
        </w:rPr>
        <w:t xml:space="preserve"> настоящего Административного регламента.</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 xml:space="preserve">2.9. В случае, предусмотренном подпунктом «а» пункта 6.1 раздела </w:t>
      </w:r>
      <w:r>
        <w:rPr>
          <w:rFonts w:cs="Times New Roman" w:ascii="Times New Roman" w:hAnsi="Times New Roman"/>
          <w:sz w:val="28"/>
          <w:szCs w:val="28"/>
          <w:lang w:val="en-US"/>
        </w:rPr>
        <w:t>II</w:t>
      </w:r>
      <w:r>
        <w:rPr>
          <w:rFonts w:cs="Times New Roman" w:ascii="Times New Roman" w:hAnsi="Times New Roman"/>
          <w:sz w:val="28"/>
          <w:szCs w:val="28"/>
        </w:rPr>
        <w:t xml:space="preserve"> настоящего Административного регламента ответственный сотрудник в течение 15 дней со дня регистрации заявления проверяет полноту и достоверность сведений, указанных в заявлении, путем их сопоставления со сведениями, содержащимися в Едином государственном реестре юридических лиц или Едином государственном реестре индивидуальных предпринимателей, ответах Федеральной налоговой службы, Федеральной антимонопольной службы, подготавливает следующие документы и передает их первому заместителю председателя Комитета:</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1) при отсутствии оснований для отказа в предоставлении государственной услуги: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проект приказа Комитета о закреплении доли квоты добычи (вылова) водных биологических ресурсов за заявителем;</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2) при наличии оснований для отказа в предоставлении государственной услуги: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проект уведомления об отказе в заключении договора о закреплении доли квоты добычи (вылова) водных биологических ресурсов.</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2.10. В приказе Комитета о закреплении доли квоты добычи (вылова) водных биологических ресурсов за заявителем указываются:</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1) полное наименование и организационно-правовая форма заявителя;</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2) ИНН заявителя;</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3) вид водных биоресурсов и доля квоты добычи (вылова) в процентах;</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4) район промысла.</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2.11. Первый заместитель председателя Комитета в день поступления к нему проектов документов, указанных в пункте 2.9 настоящего подраздела, согласовывает их и передает председателю Комитета.</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2.12. Председатель Комитета в течение двух дней со дня поступления к нему согласованных первым заместителем председателя Комитета проектов документов, указанных в пункте 2.9 настоящего подраздела, подписывает их и передает сотруднику Комитета, в должностные обязанности которого входит регистрация исходящей корреспонденции.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2.13. Сотрудник Комитета, в должностные обязанности которого входит регистрация исходящей корреспонденции, в день поступления к нему подписанного председателем Комитета приказа о закреплении долей квот добычи (вылова) водных биологических ресурсов за заявителем или уведомления об отказе в заключении договора о закреплении долей квот добычи (вылова) водных биологических ресурсов в установленном порядке регистрирует поступившие документы и передает их ответственному сотруднику.</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2.14. Ответственный сотрудник в течение десяти дней с даты подписания председателем Комитета приказа о закреплении доли квоты добычи (вылова) водных биологических ресурсов за заявителем подготавливает объявление о сроке заключения договоров и размещает его и подписанный председателем Комитета приказ о закреплении доли квоты добычи (вылова) водных биологических ресурсов на официальном сайте Комитета в сети Интернет.</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 xml:space="preserve">2.15. В случаях, предусмотренных подпунктами «б» и «в» пункта 6.1 раздела </w:t>
      </w:r>
      <w:r>
        <w:rPr>
          <w:rFonts w:cs="Times New Roman" w:ascii="Times New Roman" w:hAnsi="Times New Roman"/>
          <w:sz w:val="28"/>
          <w:szCs w:val="28"/>
          <w:lang w:val="en-US"/>
        </w:rPr>
        <w:t>II</w:t>
      </w:r>
      <w:r>
        <w:rPr>
          <w:rFonts w:cs="Times New Roman" w:ascii="Times New Roman" w:hAnsi="Times New Roman"/>
          <w:sz w:val="28"/>
          <w:szCs w:val="28"/>
        </w:rPr>
        <w:t xml:space="preserve"> настоящего Административного регламента, Комитет размещает на своем официальном сайте в информационно-телекоммуникационной сети «Интернет» уведомление о распределении квоты добычи (вылова) водных биоресурсов во внутреннем водном объекте с указанием в уведомлении даты начала и окончания приема заявок о распределении квоты добычи (вылова) водных биоресурсов во внутреннем водном объекте.</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2.16. Уведомление размещается не позднее 15 календарных дней до даты начала приема заявок.</w:t>
      </w:r>
    </w:p>
    <w:p>
      <w:pPr>
        <w:pStyle w:val="ConsPlusNormal"/>
        <w:spacing w:before="220" w:after="0"/>
        <w:ind w:firstLine="540"/>
        <w:jc w:val="both"/>
        <w:rPr>
          <w:rFonts w:ascii="Times New Roman" w:hAnsi="Times New Roman" w:cs="Times New Roman"/>
          <w:sz w:val="28"/>
          <w:szCs w:val="28"/>
        </w:rPr>
      </w:pPr>
      <w:bookmarkStart w:id="16" w:name="P281"/>
      <w:bookmarkEnd w:id="16"/>
      <w:r>
        <w:rPr>
          <w:rFonts w:cs="Times New Roman" w:ascii="Times New Roman" w:hAnsi="Times New Roman"/>
          <w:sz w:val="28"/>
          <w:szCs w:val="28"/>
        </w:rPr>
        <w:t>2.17. В случае, предусмотренном подпунктом «б» пункта 6.1 раздела II настоящего Административного регламента Комитет в течение 31 календарного дня со дня окончания приема заявок и прилагаемых к ним документов по результатам их рассмотрения принимает следующие акты:</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а) об утверждении перечней заявителей, которым отказано в распределении квоты добычи (вылова) водных биоресурсов во внутреннем водном объекте;</w:t>
      </w:r>
    </w:p>
    <w:p>
      <w:pPr>
        <w:pStyle w:val="ConsPlusNormal"/>
        <w:spacing w:before="220" w:after="0"/>
        <w:ind w:firstLine="540"/>
        <w:jc w:val="both"/>
        <w:rPr>
          <w:rFonts w:ascii="Times New Roman" w:hAnsi="Times New Roman" w:cs="Times New Roman"/>
          <w:sz w:val="28"/>
          <w:szCs w:val="28"/>
        </w:rPr>
      </w:pPr>
      <w:bookmarkStart w:id="17" w:name="P113"/>
      <w:bookmarkEnd w:id="17"/>
      <w:r>
        <w:rPr>
          <w:rFonts w:cs="Times New Roman" w:ascii="Times New Roman" w:hAnsi="Times New Roman"/>
          <w:sz w:val="28"/>
          <w:szCs w:val="28"/>
        </w:rPr>
        <w:t>б) об утверждении перечней заявителей, которые допущены к расчету долей квоты добычи (вылова) водных биоресурсов во внутреннем водном объекте.</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 xml:space="preserve">2.18. Информирование заявителей, подавших заявки в соответствии с подпунктом «б» пункта 6.1 раздела II настоящего Административного регламента, о результатах рассмотрения заявок осуществляется путем размещения на официальном сайте актов, указанных в пункте 2.17 раздела </w:t>
      </w:r>
      <w:r>
        <w:rPr>
          <w:rFonts w:cs="Times New Roman" w:ascii="Times New Roman" w:hAnsi="Times New Roman"/>
          <w:sz w:val="28"/>
          <w:szCs w:val="28"/>
          <w:lang w:val="en-US"/>
        </w:rPr>
        <w:t>III</w:t>
      </w:r>
      <w:r>
        <w:rPr>
          <w:rFonts w:cs="Times New Roman" w:ascii="Times New Roman" w:hAnsi="Times New Roman"/>
          <w:sz w:val="28"/>
          <w:szCs w:val="28"/>
        </w:rPr>
        <w:t xml:space="preserve"> настоящего Административного регламента, в течение 10 календарных дней со дня их принятия.</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 xml:space="preserve">2.19. Комитет в течение 30 календарных дней со дня принятия акта, указанного в подпункте «б» пункта 2.17 раздела </w:t>
      </w:r>
      <w:r>
        <w:rPr>
          <w:rFonts w:cs="Times New Roman" w:ascii="Times New Roman" w:hAnsi="Times New Roman"/>
          <w:sz w:val="28"/>
          <w:szCs w:val="28"/>
          <w:lang w:val="en-US"/>
        </w:rPr>
        <w:t>III</w:t>
      </w:r>
      <w:r>
        <w:rPr>
          <w:rFonts w:cs="Times New Roman" w:ascii="Times New Roman" w:hAnsi="Times New Roman"/>
          <w:sz w:val="28"/>
          <w:szCs w:val="28"/>
        </w:rPr>
        <w:t xml:space="preserve"> настоящего Административного регламента, производит расчет доли квотыы добычи (вылова) водных биоресурсов во внутреннем водном объекте, закрепляемых за заявителями, и принимает акты, указанные в пункте 2.22 настоящего Административного регламента.</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 xml:space="preserve">2.20. Квота добычи (вылова) водных биоресурсов во внутреннем водном объекте распределяется в долевом соотношении между заявителями, осуществлявшими добычу (вылов) соответствующего вида водных биоресурсов в определенном районе во внутреннем водном объекте, на основании договоров пользования водными биоресурсами, а объем доли квоты добычи (вылова) водных биоресурсов во внутреннем водном объекте у этих заявителей определяется на основании данных государственного рыбохозяйственного реестра об объеме добытых (выловленных) этими лицами водных биоресурсов за 3 года, предшествующих расчетному году, в порядке, указанном в пункте 2.21 раздела </w:t>
      </w:r>
      <w:r>
        <w:rPr>
          <w:rFonts w:cs="Times New Roman" w:ascii="Times New Roman" w:hAnsi="Times New Roman"/>
          <w:sz w:val="28"/>
          <w:szCs w:val="28"/>
          <w:lang w:val="en-US"/>
        </w:rPr>
        <w:t>III</w:t>
      </w:r>
      <w:r>
        <w:rPr>
          <w:rFonts w:cs="Times New Roman" w:ascii="Times New Roman" w:hAnsi="Times New Roman"/>
          <w:sz w:val="28"/>
          <w:szCs w:val="28"/>
        </w:rPr>
        <w:t xml:space="preserve"> настоящего Административного регламента.</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2.21. Расчет доли квоты добычи (вылова) водных биоресурсов во внутреннем водном объекте, закрепляемой за заявителем, осуществляется на основании данных государственного рыбохозяйственного реестра об объеме добытого (выловленного) заявителем вида водных биоресурсов, на основании договоров (договора) пользования водными биоресурсами, указанными в его заявке, за 3 года, предшествующих расчетному году, путем определения отношения суммы объемов добытых (выловленных) заявителем такого вида водных биоресурсов на основании договоров (договора) пользования водными биоресурсами за 3 года, предшествующих расчетному году, к сумме объемов добытых (выловленных) видов водных биоресурсов на основании договоров (договора) пользования водными биоресурсами в районе добычи (вылова) такого вида водных биоресурсов во внутреннем водном объекте всеми допущенными к расчету долей квоты добычи (вылова) водных биоресурсов заявителями за 3 года, предшествующих расчетному году, и выражается в процентах с точностью до 3 цифр после запятой.</w:t>
      </w:r>
    </w:p>
    <w:p>
      <w:pPr>
        <w:pStyle w:val="ConsPlusNormal"/>
        <w:spacing w:before="220" w:after="0"/>
        <w:ind w:firstLine="540"/>
        <w:jc w:val="both"/>
        <w:rPr>
          <w:rFonts w:ascii="Times New Roman" w:hAnsi="Times New Roman" w:cs="Times New Roman"/>
          <w:sz w:val="28"/>
          <w:szCs w:val="28"/>
        </w:rPr>
      </w:pPr>
      <w:bookmarkStart w:id="18" w:name="P117"/>
      <w:bookmarkEnd w:id="18"/>
      <w:r>
        <w:rPr>
          <w:rFonts w:cs="Times New Roman" w:ascii="Times New Roman" w:hAnsi="Times New Roman"/>
          <w:sz w:val="28"/>
          <w:szCs w:val="28"/>
        </w:rPr>
        <w:t xml:space="preserve">Погрешность округления, образованная в результате определения в соответствии с абзацем первым настоящего пункта долей квоты добычи (вылова) водных биоресурсов во внутреннем водном объекте, распределяется между такими долями в размере </w:t>
      </w:r>
      <w:r>
        <w:rPr>
          <w:rFonts w:cs="Times New Roman" w:ascii="Times New Roman" w:hAnsi="Times New Roman"/>
          <w:sz w:val="28"/>
          <w:szCs w:val="28"/>
        </w:rPr>
        <w:drawing>
          <wp:inline distT="0" distB="0" distL="19050" distR="0">
            <wp:extent cx="152400" cy="171450"/>
            <wp:effectExtent l="0" t="0" r="0" b="0"/>
            <wp:docPr id="2" name="Рисунок 2" descr="base_1_305899_3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descr="base_1_305899_32768"/>
                    <pic:cNvPicPr>
                      <a:picLocks noChangeAspect="1" noChangeArrowheads="1"/>
                    </pic:cNvPicPr>
                  </pic:nvPicPr>
                  <pic:blipFill>
                    <a:blip r:embed="rId9"/>
                    <a:stretch>
                      <a:fillRect/>
                    </a:stretch>
                  </pic:blipFill>
                  <pic:spPr bwMode="auto">
                    <a:xfrm>
                      <a:off x="0" y="0"/>
                      <a:ext cx="152400" cy="171450"/>
                    </a:xfrm>
                    <a:prstGeom prst="rect">
                      <a:avLst/>
                    </a:prstGeom>
                  </pic:spPr>
                </pic:pic>
              </a:graphicData>
            </a:graphic>
          </wp:inline>
        </w:drawing>
      </w:r>
      <w:r>
        <w:rPr>
          <w:rFonts w:cs="Times New Roman" w:ascii="Times New Roman" w:hAnsi="Times New Roman"/>
          <w:sz w:val="28"/>
          <w:szCs w:val="28"/>
        </w:rPr>
        <w:t xml:space="preserve"> 0,001 процента до полного ее распределения.</w:t>
      </w:r>
    </w:p>
    <w:p>
      <w:pPr>
        <w:pStyle w:val="ConsPlusNormal"/>
        <w:spacing w:before="220" w:after="0"/>
        <w:ind w:firstLine="540"/>
        <w:jc w:val="both"/>
        <w:rPr>
          <w:rFonts w:ascii="Times New Roman" w:hAnsi="Times New Roman" w:cs="Times New Roman"/>
          <w:sz w:val="28"/>
          <w:szCs w:val="28"/>
        </w:rPr>
      </w:pPr>
      <w:bookmarkStart w:id="19" w:name="P118"/>
      <w:bookmarkEnd w:id="19"/>
      <w:r>
        <w:rPr>
          <w:rFonts w:cs="Times New Roman" w:ascii="Times New Roman" w:hAnsi="Times New Roman"/>
          <w:sz w:val="28"/>
          <w:szCs w:val="28"/>
        </w:rPr>
        <w:t>Погрешность округления распределяется между долями квоты добычи (вылова) водных биоресурсов во внутреннем водном объекте в порядке очередности от соответствующей доли квоты добычи (вылова) водных биоресурсов с наибольшим значением к соответствующей доле квоты добычи (вылова) водных биоресурсов с наименьшим значением.</w:t>
      </w:r>
    </w:p>
    <w:p>
      <w:pPr>
        <w:pStyle w:val="ConsPlusNormal"/>
        <w:spacing w:before="220" w:after="0"/>
        <w:ind w:firstLine="540"/>
        <w:jc w:val="both"/>
        <w:rPr/>
      </w:pPr>
      <w:r>
        <w:rPr>
          <w:rFonts w:cs="Times New Roman" w:ascii="Times New Roman" w:hAnsi="Times New Roman"/>
          <w:sz w:val="28"/>
          <w:szCs w:val="28"/>
        </w:rPr>
        <w:t xml:space="preserve">Если количество заявителей, которым рассчитаны доли квоты добычи (вылова) водных биоресурсов во внутреннем водном объекте, меньше погрешности округления, умноженной на 1000, то распределение погрешности округления осуществляется в несколько этапов с соблюдением условий, указанных в </w:t>
      </w:r>
      <w:hyperlink w:anchor="P117">
        <w:r>
          <w:rPr>
            <w:rStyle w:val="Style17"/>
            <w:rFonts w:cs="Times New Roman" w:ascii="Times New Roman" w:hAnsi="Times New Roman"/>
            <w:sz w:val="28"/>
            <w:szCs w:val="28"/>
          </w:rPr>
          <w:t>абзацах втором</w:t>
        </w:r>
      </w:hyperlink>
      <w:r>
        <w:rPr>
          <w:rFonts w:cs="Times New Roman" w:ascii="Times New Roman" w:hAnsi="Times New Roman"/>
          <w:sz w:val="28"/>
          <w:szCs w:val="28"/>
        </w:rPr>
        <w:t xml:space="preserve"> и </w:t>
      </w:r>
      <w:hyperlink w:anchor="P118">
        <w:r>
          <w:rPr>
            <w:rStyle w:val="Style17"/>
            <w:rFonts w:cs="Times New Roman" w:ascii="Times New Roman" w:hAnsi="Times New Roman"/>
            <w:sz w:val="28"/>
            <w:szCs w:val="28"/>
          </w:rPr>
          <w:t>третьем</w:t>
        </w:r>
      </w:hyperlink>
      <w:r>
        <w:rPr>
          <w:rFonts w:cs="Times New Roman" w:ascii="Times New Roman" w:hAnsi="Times New Roman"/>
          <w:sz w:val="28"/>
          <w:szCs w:val="28"/>
        </w:rPr>
        <w:t xml:space="preserve"> настоящего пункта.</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2.22. Комитет при завершении расчета долей квоты добычи (вылова) водных биоресурсов во внутреннем водном объекте, произведенного в соответствии с пунктом 2.21 настоящего Административного регламента, принимает следующие акты:</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а) об утверждении перечня заявителей, между которыми распределяются квоты добычи (вылова) водных биоресурсов во внутреннем водном объекте, с указанием закрепляемых за ними долей таких квот;</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б) об утверждении перечня заявителей, которым по результатам расчета, отказано в распределении квоты добычи (вылова) водных биоресурсов во внутреннем водном объекте.</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2.23. Комитет в течение 10 календарных дней со дня принятия актов, указанных в пункте 2.22 настоящего Административного регламента, размещает их на официальном сайте.</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2.24. Комитет в течение 31 календарного дня со дня окончания приема заявок, поданных в соответствии с подпунктом «в» пункта 6.1 раздела II настоящего Административного регламента, и прилагаемых к ним документов устанавливает наличие или отсутствие оснований для отказа в распределении квоты добычи (вылова) водных биоресурсов во внутреннем водном объекте, указанных в пункте 8 настоящего Административного регламента, и в случае отсутствия таких оснований для отказа определяет размер доли квоты добычи (вылова) водных биоресурсов во внутреннем водном объекте, закрепляемой за заявителем, в соответствии с пунктом 2.26 настоящего Административного регламента.</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 xml:space="preserve">2.25. В случае, предусмотренном подпунктом «в» пункта 6.1 раздела </w:t>
      </w:r>
      <w:r>
        <w:rPr>
          <w:rFonts w:cs="Times New Roman" w:ascii="Times New Roman" w:hAnsi="Times New Roman"/>
          <w:sz w:val="28"/>
          <w:szCs w:val="28"/>
          <w:lang w:val="en-US"/>
        </w:rPr>
        <w:t>II</w:t>
      </w:r>
      <w:r>
        <w:rPr>
          <w:rFonts w:cs="Times New Roman" w:ascii="Times New Roman" w:hAnsi="Times New Roman"/>
          <w:sz w:val="28"/>
          <w:szCs w:val="28"/>
        </w:rPr>
        <w:t xml:space="preserve"> настоящего Административного регламента, квота добычи (вылова) водных биоресурсов во внутреннем водном объекте распределяются в долевом соотношении между заявителями, у которых срок действия договора о закреплении доли квоты добычи (вылова) водных биоресурсов во внутреннем водном объекте истекает, путем заключения с такими заявителями нового договора о закреплении доли квоты добычи (вылова) водных биоресурсов во внутреннем водном объекте.</w:t>
      </w:r>
    </w:p>
    <w:p>
      <w:pPr>
        <w:pStyle w:val="ConsPlusNormal"/>
        <w:spacing w:before="220" w:after="0"/>
        <w:ind w:firstLine="540"/>
        <w:jc w:val="both"/>
        <w:rPr>
          <w:rFonts w:ascii="Times New Roman" w:hAnsi="Times New Roman" w:cs="Times New Roman"/>
          <w:sz w:val="28"/>
          <w:szCs w:val="28"/>
        </w:rPr>
      </w:pPr>
      <w:bookmarkStart w:id="20" w:name="P125"/>
      <w:bookmarkEnd w:id="20"/>
      <w:r>
        <w:rPr>
          <w:rFonts w:cs="Times New Roman" w:ascii="Times New Roman" w:hAnsi="Times New Roman"/>
          <w:sz w:val="28"/>
          <w:szCs w:val="28"/>
        </w:rPr>
        <w:t>2.26. Размер доли квоты добычи (вылова) водных биоресурсов во внутреннем водном объекте, закрепляемой за заявителем, должен соответствовать размеру доли квоты добычи (вылова) водных биоресурсов, содержащейся в договоре о закреплении доли квоты добычи (вылова) водных биоресурсов во внутреннем водном объекте, указанном в заявке, поданной в соответствии с подпунктом «в» пункта 6.1 раздела II настоящего Административного регламента.</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В случае если у заявителя истекает срок действия нескольких договоров о закреплении доли квоты добычи (вылова) водных биоресурсов во внутреннем водном объекте, заключенных в отношении соответствующей квоты добычи (вылова) водных биоресурсов во внутреннем водном объекте и указанных заявителем в заявке, поданной в соответствии с подпунктом «в» пункта 6.1 раздела II настоящего Административного регламента, размер доли квоты добычи (вылова) водных биоресурсов во внутреннем водном объекте, закрепляемой за этим заявителем, определяется как сумма долей такой квоты добычи (вылова) водных биоресурсов, указанных в таких договорах о закреплении доли квоты добычи (вылова) водных биоресурсов во внутреннем водном объекте.</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2.27. Комитет информирует заявителя о результатах рассмотрения заявок в соответствии с пунктом 2.24 настоящего Административного регламента путем:</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а) размещения на официальном сайте акта Комитета об утверждении перечня заявителей, которым в случае наличия оснований для отказа в распределении квоты добычи (вылова) водных биоресурсов во внутреннем водном объекте, указанных в пункте 8 настоящего Административного регламента, отказано в распределении квоты добычи (вылова) водных биоресурсов во внутреннем водном объекте, в течение 10 календарных дней со дня принятия такого акта;</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 xml:space="preserve">б) передачи заявителю проекта договора о закреплении доли квоты добычи (вылова) водных биоресурсов во внутреннем водном объекте в порядке, установленном пунктом 3 раздела </w:t>
      </w:r>
      <w:r>
        <w:rPr>
          <w:rFonts w:cs="Times New Roman" w:ascii="Times New Roman" w:hAnsi="Times New Roman"/>
          <w:sz w:val="28"/>
          <w:szCs w:val="28"/>
          <w:lang w:val="en-US"/>
        </w:rPr>
        <w:t>III</w:t>
      </w:r>
      <w:r>
        <w:rPr>
          <w:rFonts w:cs="Times New Roman" w:ascii="Times New Roman" w:hAnsi="Times New Roman"/>
          <w:sz w:val="28"/>
          <w:szCs w:val="28"/>
        </w:rPr>
        <w:t xml:space="preserve"> настоящего Административного регламента.</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 xml:space="preserve">2.28. Комитет не позднее 10 рабочих дней со дня окончания срока подачи заявок размещает на официальном сайте информацию о сформированных при рассмотрении заявок и прилагаемых к ним документов замечаниях, которые в случае их неустранения станут основаниями для отказа в распределении квоты добычи (вылова) водных биоресурсов во внутреннем водном объекте, указанными в подпунктах «а»-«в» пункта 8 раздела </w:t>
      </w:r>
      <w:r>
        <w:rPr>
          <w:rFonts w:cs="Times New Roman" w:ascii="Times New Roman" w:hAnsi="Times New Roman"/>
          <w:sz w:val="28"/>
          <w:szCs w:val="28"/>
          <w:lang w:val="en-US"/>
        </w:rPr>
        <w:t>II</w:t>
      </w:r>
      <w:r>
        <w:rPr>
          <w:rFonts w:cs="Times New Roman" w:ascii="Times New Roman" w:hAnsi="Times New Roman"/>
          <w:sz w:val="28"/>
          <w:szCs w:val="28"/>
        </w:rPr>
        <w:t xml:space="preserve"> настоящего Административного регламента.</w:t>
      </w:r>
    </w:p>
    <w:p>
      <w:pPr>
        <w:pStyle w:val="ConsPlusNormal"/>
        <w:spacing w:before="220" w:after="0"/>
        <w:ind w:firstLine="540"/>
        <w:jc w:val="both"/>
        <w:rPr>
          <w:rFonts w:ascii="Times New Roman" w:hAnsi="Times New Roman" w:cs="Times New Roman"/>
          <w:sz w:val="28"/>
          <w:szCs w:val="28"/>
        </w:rPr>
      </w:pPr>
      <w:bookmarkStart w:id="21" w:name="P103"/>
      <w:bookmarkEnd w:id="21"/>
      <w:r>
        <w:rPr>
          <w:rFonts w:cs="Times New Roman" w:ascii="Times New Roman" w:hAnsi="Times New Roman"/>
          <w:sz w:val="28"/>
          <w:szCs w:val="28"/>
        </w:rPr>
        <w:t>Заявитель в течение 10 календарных дней после размещения информации, указанной в абзаце первом настоящего пункта, вправе устранить замечания путем представления в Комитет сведений и документов в дополнение к ранее представленной заявке, позволяющих считать заявку поданной в соответствии с требованиями, указанными в настоящем административном регламенте.</w:t>
      </w:r>
    </w:p>
    <w:p>
      <w:pPr>
        <w:pStyle w:val="ConsPlusNormal"/>
        <w:spacing w:before="220" w:after="0"/>
        <w:ind w:firstLine="540"/>
        <w:jc w:val="both"/>
        <w:rPr/>
      </w:pPr>
      <w:r>
        <w:rPr>
          <w:rFonts w:cs="Times New Roman" w:ascii="Times New Roman" w:hAnsi="Times New Roman"/>
          <w:sz w:val="28"/>
          <w:szCs w:val="28"/>
        </w:rPr>
        <w:t xml:space="preserve">Непредставление заявителем в Комитет в дополнение к ранее представленной заявке сведений и документов, указанных в </w:t>
      </w:r>
      <w:hyperlink w:anchor="P103">
        <w:r>
          <w:rPr>
            <w:rStyle w:val="Style17"/>
            <w:rFonts w:cs="Times New Roman" w:ascii="Times New Roman" w:hAnsi="Times New Roman"/>
            <w:sz w:val="28"/>
            <w:szCs w:val="28"/>
          </w:rPr>
          <w:t>абзаце втором</w:t>
        </w:r>
      </w:hyperlink>
      <w:r>
        <w:rPr>
          <w:rFonts w:cs="Times New Roman" w:ascii="Times New Roman" w:hAnsi="Times New Roman"/>
          <w:sz w:val="28"/>
          <w:szCs w:val="28"/>
        </w:rPr>
        <w:t xml:space="preserve"> настоящего пункта, признается отказом заявителя от распределения квоты добычи (вылова) водных биоресурсов во внутреннем водном объекте.</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2.29. Результатом исполнения административной процедуры является подписание председателем Комитета приказа о закреплении доли квоты добычи (вылова) водных биологических ресурсов за заявителем, размещение указанного приказа и объявления о сроке заключения договоров на официальном сайте Комитета в сети Интернет либо подписание уведомления об отказе в заключении договора о закреплении доли квоты добычи (вылова) водных биологических ресурсов.</w:t>
      </w:r>
    </w:p>
    <w:p>
      <w:pPr>
        <w:pStyle w:val="ConsPlusNormal"/>
        <w:numPr>
          <w:ilvl w:val="0"/>
          <w:numId w:val="0"/>
        </w:numPr>
        <w:jc w:val="center"/>
        <w:outlineLvl w:val="2"/>
        <w:rPr>
          <w:rFonts w:ascii="Times New Roman" w:hAnsi="Times New Roman" w:cs="Times New Roman"/>
          <w:sz w:val="28"/>
          <w:szCs w:val="28"/>
        </w:rPr>
      </w:pPr>
      <w:r>
        <w:rPr>
          <w:rFonts w:cs="Times New Roman" w:ascii="Times New Roman" w:hAnsi="Times New Roman"/>
          <w:sz w:val="28"/>
          <w:szCs w:val="28"/>
        </w:rPr>
        <w:t>3. Административная процедура «Вручение или направление</w:t>
      </w:r>
    </w:p>
    <w:p>
      <w:pPr>
        <w:pStyle w:val="ConsPlusNormal"/>
        <w:jc w:val="center"/>
        <w:rPr>
          <w:rFonts w:ascii="Times New Roman" w:hAnsi="Times New Roman" w:cs="Times New Roman"/>
          <w:sz w:val="28"/>
          <w:szCs w:val="28"/>
        </w:rPr>
      </w:pPr>
      <w:r>
        <w:rPr>
          <w:rFonts w:cs="Times New Roman" w:ascii="Times New Roman" w:hAnsi="Times New Roman"/>
          <w:sz w:val="28"/>
          <w:szCs w:val="28"/>
        </w:rPr>
        <w:t>заявителю проекта договора о</w:t>
      </w:r>
    </w:p>
    <w:p>
      <w:pPr>
        <w:pStyle w:val="ConsPlusNormal"/>
        <w:jc w:val="center"/>
        <w:rPr>
          <w:rFonts w:ascii="Times New Roman" w:hAnsi="Times New Roman" w:cs="Times New Roman"/>
          <w:sz w:val="28"/>
          <w:szCs w:val="28"/>
        </w:rPr>
      </w:pPr>
      <w:r>
        <w:rPr>
          <w:rFonts w:cs="Times New Roman" w:ascii="Times New Roman" w:hAnsi="Times New Roman"/>
          <w:sz w:val="28"/>
          <w:szCs w:val="28"/>
        </w:rPr>
        <w:t>закреплении доли квоты добычи (вылова) водных биологических</w:t>
      </w:r>
    </w:p>
    <w:p>
      <w:pPr>
        <w:pStyle w:val="ConsPlusNormal"/>
        <w:jc w:val="center"/>
        <w:rPr>
          <w:rFonts w:ascii="Times New Roman" w:hAnsi="Times New Roman" w:cs="Times New Roman"/>
          <w:sz w:val="28"/>
          <w:szCs w:val="28"/>
        </w:rPr>
      </w:pPr>
      <w:r>
        <w:rPr>
          <w:rFonts w:cs="Times New Roman" w:ascii="Times New Roman" w:hAnsi="Times New Roman"/>
          <w:sz w:val="28"/>
          <w:szCs w:val="28"/>
        </w:rPr>
        <w:t>ресурсов либо уведомления об отказе в заключении договора о</w:t>
      </w:r>
    </w:p>
    <w:p>
      <w:pPr>
        <w:pStyle w:val="ConsPlusNormal"/>
        <w:jc w:val="center"/>
        <w:rPr>
          <w:rFonts w:ascii="Times New Roman" w:hAnsi="Times New Roman" w:cs="Times New Roman"/>
          <w:sz w:val="28"/>
          <w:szCs w:val="28"/>
        </w:rPr>
      </w:pPr>
      <w:r>
        <w:rPr>
          <w:rFonts w:cs="Times New Roman" w:ascii="Times New Roman" w:hAnsi="Times New Roman"/>
          <w:sz w:val="28"/>
          <w:szCs w:val="28"/>
        </w:rPr>
        <w:t>закреплении доли квоты добычи (вылова) водных</w:t>
      </w:r>
    </w:p>
    <w:p>
      <w:pPr>
        <w:pStyle w:val="ConsPlusNormal"/>
        <w:jc w:val="center"/>
        <w:rPr>
          <w:rFonts w:ascii="Times New Roman" w:hAnsi="Times New Roman" w:cs="Times New Roman"/>
          <w:sz w:val="28"/>
          <w:szCs w:val="28"/>
        </w:rPr>
      </w:pPr>
      <w:r>
        <w:rPr>
          <w:rFonts w:cs="Times New Roman" w:ascii="Times New Roman" w:hAnsi="Times New Roman"/>
          <w:sz w:val="28"/>
          <w:szCs w:val="28"/>
        </w:rPr>
        <w:t>биологических ресурсов»</w:t>
      </w:r>
    </w:p>
    <w:p>
      <w:pPr>
        <w:pStyle w:val="ConsPlusNormal"/>
        <w:ind w:firstLine="540"/>
        <w:jc w:val="both"/>
        <w:rPr>
          <w:rFonts w:ascii="Times New Roman" w:hAnsi="Times New Roman" w:cs="Times New Roman"/>
          <w:sz w:val="28"/>
          <w:szCs w:val="28"/>
          <w:highlight w:val="cyan"/>
        </w:rPr>
      </w:pPr>
      <w:r>
        <w:rPr>
          <w:rFonts w:cs="Times New Roman" w:ascii="Times New Roman" w:hAnsi="Times New Roman"/>
          <w:sz w:val="28"/>
          <w:szCs w:val="28"/>
          <w:highlight w:val="cyan"/>
        </w:rPr>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t>3.1. Основанием для начала осуществления административной процедуры является подписание председателем Комитета документов, предусмотренных пунктами 2.9 и 2.22 раздела III настоящего Административного регламента, размещение приказа Комитета о закреплении доли квоты добычи (вылова) водных биологических ресурсов за заявителем и объявления о сроке заключения договоров на официальном сайте Комитета в сети Интернет.</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3.2. Ответственный сотрудник в течение 10 календарных дней передает заявителю проект договора о закреплении доли квоты добычи (вылова) водных биоресурсов по форме утвержденной постановлением Правительства Российской Федерации от 23.08.2018 № 987 «О распределении квот добычи (вылова) водных биологических ресурсов в соответствии с частью 12 статьи 31 Федерального Закона «О рыболовстве и сохранении водных биологических ресурсов» и признании утратившими силу некоторых актов Правительства Российской Федерации» в 2 экземплярах для подписания лично или направляет заказным письмом с уведомлением о вручении;</w:t>
      </w:r>
    </w:p>
    <w:p>
      <w:pPr>
        <w:pStyle w:val="ConsPlusNormal"/>
        <w:spacing w:before="220" w:after="0"/>
        <w:ind w:firstLine="540"/>
        <w:jc w:val="both"/>
        <w:rPr>
          <w:rFonts w:ascii="Times New Roman" w:hAnsi="Times New Roman" w:cs="Times New Roman"/>
          <w:sz w:val="28"/>
          <w:szCs w:val="28"/>
        </w:rPr>
      </w:pPr>
      <w:bookmarkStart w:id="22" w:name="P171"/>
      <w:bookmarkEnd w:id="22"/>
      <w:r>
        <w:rPr>
          <w:rFonts w:cs="Times New Roman" w:ascii="Times New Roman" w:hAnsi="Times New Roman"/>
          <w:sz w:val="28"/>
          <w:szCs w:val="28"/>
        </w:rPr>
        <w:t>3.3. Заявитель в течение 10 календарных дней со дня получения проекта договора о закреплении доли квоты добычи (вылова) водных биоресурсов в 2 экземплярах подписывает их и представляет в Комитет лично или направляют заказным письмом с уведомлением о вручении и описью вложения, либо уведомляет об отказе в подписании такого договора.</w:t>
      </w:r>
    </w:p>
    <w:p>
      <w:pPr>
        <w:pStyle w:val="ConsPlusNormal"/>
        <w:spacing w:before="220" w:after="0"/>
        <w:ind w:firstLine="539"/>
        <w:jc w:val="both"/>
        <w:rPr>
          <w:rFonts w:ascii="Times New Roman" w:hAnsi="Times New Roman" w:cs="Times New Roman"/>
          <w:sz w:val="28"/>
          <w:szCs w:val="28"/>
        </w:rPr>
      </w:pPr>
      <w:r>
        <w:rPr>
          <w:rFonts w:cs="Times New Roman" w:ascii="Times New Roman" w:hAnsi="Times New Roman"/>
          <w:sz w:val="28"/>
          <w:szCs w:val="28"/>
        </w:rPr>
        <w:t>3.4. Поступление уведомления об отказе в подписании договора о закреплении доли квоты добычи (вылова) водных биоресурсов или непредставление заявителем, в срок, предусмотренный пунктом 3.3. настоящего раздела, подписанного договора о закреплении доли квоты добычи (вылова) водных биоресурсов в 2 экземплярах признается отказом заявителя от заключения такого договора и отказом от права на добычу (вылов) водных биоресурсов, предусмотренного таким договором;</w:t>
      </w:r>
    </w:p>
    <w:p>
      <w:pPr>
        <w:pStyle w:val="ConsPlusNormal"/>
        <w:spacing w:before="220" w:after="0"/>
        <w:ind w:firstLine="539"/>
        <w:jc w:val="both"/>
        <w:rPr>
          <w:rFonts w:ascii="Times New Roman" w:hAnsi="Times New Roman" w:cs="Times New Roman"/>
          <w:sz w:val="28"/>
          <w:szCs w:val="28"/>
        </w:rPr>
      </w:pPr>
      <w:r>
        <w:rPr>
          <w:rFonts w:cs="Times New Roman" w:ascii="Times New Roman" w:hAnsi="Times New Roman"/>
          <w:sz w:val="28"/>
          <w:szCs w:val="28"/>
        </w:rPr>
        <w:t>3.5. При поступлении от Федеральной антимонопольной службы информации о нахождении юридического лица, под контролем иностранного инвестора, за исключением случая, если контроль иностранного инвестора в отношении такого лица установлен в порядке, предусмотренном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уполномоченный орган отказывает в заключении договора о закреплении доли квоты добычи (вылова) водных биоресурсов, о чем информирует указанное лицо в письменной форме заказным письмом с уведомлением о вручении.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3.6. Комитет в течение 10 календарных дней со дня получения подписанного заявителем договора о закреплении доли квоты добычи (вылова) водных биоресурсов в 2 экземплярах подписывает его, регистрирует и передает 1 экземпляр указанного договора заявителю лично или направляет заказным письмом с уведомлением о вручении.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 xml:space="preserve">3.7. Договор о закреплении доли квоты добычи (вылова) водных биоресурсов во внутреннем водном объекте, заключаемые по результатам аукциона с юридическим лицом или индивидуальным предпринимателем, указанными в подпункте «а» пункта 6.1 раздела </w:t>
      </w:r>
      <w:r>
        <w:rPr>
          <w:rFonts w:cs="Times New Roman" w:ascii="Times New Roman" w:hAnsi="Times New Roman"/>
          <w:sz w:val="28"/>
          <w:szCs w:val="28"/>
          <w:lang w:val="en-US"/>
        </w:rPr>
        <w:t>II</w:t>
      </w:r>
      <w:r>
        <w:rPr>
          <w:rFonts w:cs="Times New Roman" w:ascii="Times New Roman" w:hAnsi="Times New Roman"/>
          <w:sz w:val="28"/>
          <w:szCs w:val="28"/>
        </w:rPr>
        <w:t xml:space="preserve"> настоящего Административного регламента, заключаются не ранее чем через 10 календарных дней со дня размещения протокола аукциона на официальном сайте организатора аукциона в информационно-телекоммуникационной сети «Интернет».</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3.8. Копия договора о закреплении доли квоты добычи (вылова) водных биоресурсов во внутреннем водном объекте, после его подписания сторонами и регистрации направляется Комитетом в течение 5 рабочих дней в Федеральное агентство по рыболовству для внесения сведений о заключении такого договора в государственный рыбохозяйственный реестр.</w:t>
      </w:r>
    </w:p>
    <w:p>
      <w:pPr>
        <w:pStyle w:val="ConsPlusNormal"/>
        <w:spacing w:before="220" w:after="0"/>
        <w:ind w:firstLine="540"/>
        <w:jc w:val="both"/>
        <w:rPr>
          <w:rFonts w:ascii="Times New Roman" w:hAnsi="Times New Roman" w:cs="Times New Roman"/>
          <w:sz w:val="28"/>
          <w:szCs w:val="28"/>
        </w:rPr>
      </w:pPr>
      <w:bookmarkStart w:id="23" w:name="P177"/>
      <w:bookmarkEnd w:id="23"/>
      <w:r>
        <w:rPr>
          <w:rFonts w:cs="Times New Roman" w:ascii="Times New Roman" w:hAnsi="Times New Roman"/>
          <w:sz w:val="28"/>
          <w:szCs w:val="28"/>
        </w:rPr>
        <w:t>3.9. Сведения о заключенных договорах о закреплении доли квоты добычи (вылова) водных биоресурсов во внутреннем водном объекте после их подписания сторонами и регистрации подлежат внесению в государственный рыбохозяйственный реестр в течение 10 рабочих дней со дня подписания таких договоров или со дня поступления их копий в Федеральное агентство по рыболовству.</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3.10. Результатом исполнения административной процедуры является вручение или направление заявителю подписанного председателем Комитета договора о закреплении доли квоты добычи (вылова) водных биологических ресурсов либо уведомления об отказе в заключении договора о закреплении доли квоты добычи (вылова) водных биологических ресурсов.</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3.11. Блок-схема предоставления государственной услуги приводится в приложении 3 к настоящему Административному регламенту.</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center"/>
        <w:outlineLvl w:val="1"/>
        <w:rPr>
          <w:rFonts w:ascii="Times New Roman" w:hAnsi="Times New Roman" w:cs="Times New Roman"/>
          <w:sz w:val="28"/>
          <w:szCs w:val="28"/>
        </w:rPr>
      </w:pPr>
      <w:bookmarkStart w:id="24" w:name="P297"/>
      <w:bookmarkEnd w:id="24"/>
      <w:r>
        <w:rPr>
          <w:rFonts w:cs="Times New Roman" w:ascii="Times New Roman" w:hAnsi="Times New Roman"/>
          <w:sz w:val="28"/>
          <w:szCs w:val="28"/>
        </w:rPr>
        <w:t>IV. Формы контроля за</w:t>
      </w:r>
    </w:p>
    <w:p>
      <w:pPr>
        <w:pStyle w:val="ConsPlusNormal"/>
        <w:jc w:val="center"/>
        <w:rPr>
          <w:rFonts w:ascii="Times New Roman" w:hAnsi="Times New Roman" w:cs="Times New Roman"/>
          <w:sz w:val="28"/>
          <w:szCs w:val="28"/>
        </w:rPr>
      </w:pPr>
      <w:r>
        <w:rPr>
          <w:rFonts w:cs="Times New Roman" w:ascii="Times New Roman" w:hAnsi="Times New Roman"/>
          <w:sz w:val="28"/>
          <w:szCs w:val="28"/>
        </w:rPr>
        <w:t>исполнением Административного регламента</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t>1. Формами контроля за исполнением Административного регламента являются:</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1) текущий контроль за исполнением Административного регламента;</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2) проведение плановых и внеплановых проверок за исполнением Административного регламента.</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2. Текущий контроль за исполнением Административного регламента проводится председателем Комитета и первым заместителем председателя Комитета, курирующими работу отдела водных биоресурсов Комитета.</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3. Плановые проверки проводятся не реже одного раза в течение календарного года в соответствии с планом проведения проверок, утвержденным приказом Комитета.</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4. Внеплановые проверки проводятся в случае поступления в Комитет жалоб на решения, действия (бездействие) сотрудников Комитета, а также в связи с проверкой устранения ранее выявленных нарушений.</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5. Для проведения плановых и внеплановых проверок на основании приказа Комитета формируется комиссия, в состав которой включаются первый заместитель председателя Комитета и сотрудники отдела правового обеспечения Комитета.</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6. Результаты плановых и внеплановых проверок оформляются актом комиссии, в котором делаются выводы о надлежащем или ненадлежащем исполнении Административного регламента, устанавливаются лица, допустившие ненадлежащее исполнение Административного регламента.</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7. Лица, допустившие ненадлежащее исполнение Административного регламента, привлекаются к дисциплинарной ответственности в соответствии с законодательством.</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center"/>
        <w:outlineLvl w:val="1"/>
        <w:rPr>
          <w:rFonts w:ascii="Times New Roman" w:hAnsi="Times New Roman" w:cs="Times New Roman"/>
          <w:sz w:val="28"/>
          <w:szCs w:val="28"/>
        </w:rPr>
      </w:pPr>
      <w:bookmarkStart w:id="25" w:name="P310"/>
      <w:bookmarkEnd w:id="25"/>
      <w:r>
        <w:rPr>
          <w:rFonts w:cs="Times New Roman" w:ascii="Times New Roman" w:hAnsi="Times New Roman"/>
          <w:sz w:val="28"/>
          <w:szCs w:val="28"/>
        </w:rPr>
        <w:t>V. Досудебный (внесудебный) порядок обжалования</w:t>
      </w:r>
    </w:p>
    <w:p>
      <w:pPr>
        <w:pStyle w:val="ConsPlusNormal"/>
        <w:jc w:val="center"/>
        <w:rPr>
          <w:rFonts w:ascii="Times New Roman" w:hAnsi="Times New Roman" w:cs="Times New Roman"/>
          <w:sz w:val="28"/>
          <w:szCs w:val="28"/>
        </w:rPr>
      </w:pPr>
      <w:r>
        <w:rPr>
          <w:rFonts w:cs="Times New Roman" w:ascii="Times New Roman" w:hAnsi="Times New Roman"/>
          <w:sz w:val="28"/>
          <w:szCs w:val="28"/>
        </w:rPr>
        <w:t>решений и действий (бездействия) Комитета, а также</w:t>
      </w:r>
    </w:p>
    <w:p>
      <w:pPr>
        <w:pStyle w:val="ConsPlusNormal"/>
        <w:jc w:val="center"/>
        <w:rPr>
          <w:rFonts w:ascii="Times New Roman" w:hAnsi="Times New Roman" w:cs="Times New Roman"/>
          <w:sz w:val="28"/>
          <w:szCs w:val="28"/>
        </w:rPr>
      </w:pPr>
      <w:r>
        <w:rPr>
          <w:rFonts w:cs="Times New Roman" w:ascii="Times New Roman" w:hAnsi="Times New Roman"/>
          <w:sz w:val="28"/>
          <w:szCs w:val="28"/>
        </w:rPr>
        <w:t>должностных лиц, государственных служащих</w:t>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r>
    </w:p>
    <w:p>
      <w:pPr>
        <w:pStyle w:val="ConsPlusNormal"/>
        <w:ind w:firstLine="540"/>
        <w:jc w:val="both"/>
        <w:rPr>
          <w:rFonts w:ascii="Times New Roman" w:hAnsi="Times New Roman" w:cs="Times New Roman"/>
          <w:sz w:val="28"/>
          <w:szCs w:val="28"/>
        </w:rPr>
      </w:pPr>
      <w:r>
        <w:rPr>
          <w:rFonts w:cs="Times New Roman" w:ascii="Times New Roman" w:hAnsi="Times New Roman"/>
          <w:sz w:val="28"/>
          <w:szCs w:val="28"/>
        </w:rPr>
        <w:t>1. Заявитель вправе обратиться с жалобой на нарушение порядка предоставления государственной услуги, выразившееся в неправомерных решениях и действиях (бездействии) Комитета и его должностных лиц, государственных гражданских служащих области при предоставлении государственной услуги (далее также - жалоба).</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2. Жалоба подается в письменной форме на бумажном носителе, в том числе при личном приеме заявителя, или в электронной форме в Комитет.</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Жалобы на решения, принятые председателем Комитета, подаются в Администрацию области.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3. Жалоба должна содержать:</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1) наименование Комитета, наименование должностного лица Комитета либо государственного гражданского служащего области, решения и действия (бездействие) которых обжалуются;</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контактного телефона, адрес электронной почты (при наличии) и почтовый адрес, по которым должен быть направлен ответ заявителю;</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3) сведения об обжалуемых решениях и действиях (бездействии) Комитета, его должностного лица либо государственного гражданского служащего области;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4) доводы, на основании которых заявитель не согласен с решением и действием (бездействием) Комитета, должностного лица Комитета либо государственного гражданского служащего области. Заявителем могут быть представлены документы (при наличии), подтверждающие доводы заявителя, либо их копии.</w:t>
      </w:r>
    </w:p>
    <w:p>
      <w:pPr>
        <w:pStyle w:val="ConsPlusNormal"/>
        <w:spacing w:before="220" w:after="0"/>
        <w:ind w:firstLine="540"/>
        <w:jc w:val="both"/>
        <w:rPr>
          <w:rFonts w:ascii="Times New Roman" w:hAnsi="Times New Roman" w:cs="Times New Roman"/>
          <w:sz w:val="28"/>
          <w:szCs w:val="28"/>
        </w:rPr>
      </w:pPr>
      <w:bookmarkStart w:id="26" w:name="P325"/>
      <w:bookmarkEnd w:id="26"/>
      <w:r>
        <w:rPr>
          <w:rFonts w:cs="Times New Roman" w:ascii="Times New Roman" w:hAnsi="Times New Roman"/>
          <w:sz w:val="28"/>
          <w:szCs w:val="28"/>
        </w:rPr>
        <w:t>4.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могут быть представлены:</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1) оформленная в соответствии с законодательством Российской Федерации доверенность (для физических лиц);</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5. Прием жалоб в письменной форме осуществляется Комитетом в месте предоставления государственной услуги (в месте, где заявитель подавал запрос на получение государственной услуги, нарушение порядка которой обжалуется, либо в месте, где заявителем получен результат указанной государственной услуги).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Время приема жалоб должно совпадать со временем предоставления государственных услуг.</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Жалоба в письменной форме может быть также направлена по почте.</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6. В электронной форме жалоба может быть подана заявителем посредством:</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1) официального сайта Комитета в сети Интернет;</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2) Единого портала государственных услуг и Портала государственных и муниципальных услуг Псковской области.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7. При подаче жалобы в электронной форме документы, указанные в пункте 4 настоящего раздела,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8. Жалоба может быть подана заявителем через многофункциональный центр. При поступлении жалобы многофункциональный центр обеспечивает ее передачу в уполномоченный на ее рассмотрение орган не позднее следующего рабочего дня со дня поступления жалобы.</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Жалоба на нарушение порядка предоставления государственной услуги многофункциональным центром рассматривается в соответствии с настоящим разделом Комитетом.</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При этом срок рассмотрения жалобы исчисляется со дня регистрации жалобы в уполномоченном на ее рассмотрение органе.</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9. Жалоба рассматривается Комитетом.</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В случае если обжалуются решения председателя Комитета, жалоба рассматривается заместителем Губернатора области, координирующим деятельность Комитета.</w:t>
      </w:r>
    </w:p>
    <w:p>
      <w:pPr>
        <w:pStyle w:val="ConsPlusNormal"/>
        <w:spacing w:before="220" w:after="0"/>
        <w:ind w:firstLine="540"/>
        <w:jc w:val="both"/>
        <w:rPr>
          <w:rFonts w:ascii="Times New Roman" w:hAnsi="Times New Roman" w:cs="Times New Roman"/>
          <w:sz w:val="28"/>
          <w:szCs w:val="28"/>
        </w:rPr>
      </w:pPr>
      <w:bookmarkStart w:id="27" w:name="P342"/>
      <w:bookmarkEnd w:id="27"/>
      <w:r>
        <w:rPr>
          <w:rFonts w:cs="Times New Roman" w:ascii="Times New Roman" w:hAnsi="Times New Roman"/>
          <w:sz w:val="28"/>
          <w:szCs w:val="28"/>
        </w:rPr>
        <w:t>10. В случае если жалоба на решение председателя Комитета подана заявителем в Комитет, в течение 3 рабочих дней со дня ее регистрации Комитет направляет жалобу в Администрацию области и в письменной форме информирует заявителя о перенаправлении жалобы.</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При этом срок рассмотрения жалобы исчисляется со дня регистрации жалобы в Администрации области.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11. Заявитель может обратиться с жалобой, в том числе в следующих случаях:</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а) нарушение срока регистрации запроса заявителя о предоставлении государственной услуги;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б) нарушение срока предоставления государственной услуги;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в) требование у заявителя документов, не предусмотренных нормативными правовыми актами Российской Федерации, нормативными правовыми актами Псковской области для предоставления государственной услуги;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г) отказ в приеме документов, представление которых предусмотрено нормативными правовыми актами Российской Федерации, нормативными правовыми актами Псковской области для предоставления государственной услуги;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д)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Псковской области;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е)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Псковской области;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ж) отказ Комитета, его должностного лица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12. В Комитете определяются уполномоченные на рассмотрение жалоб должностные лица, которые обеспечивают:</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а) прием и рассмотрение жалоб в соответствии с требованиями настоящего раздела;</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б) направление жалоб в Администрацию области в соответствии с пунктом 10 настоящего раздела.</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13.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уполномоченное на рассмотрение жалоб, незамедлительно направляет соответствующие материалы в органы прокуратуры.</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14. Комитет обеспечивает:</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1) оснащение мест приема жалоб;</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2) информирование заявителей о порядке обжалования решений и действий (бездействия) Комитета, его должностных лиц либо государственных гражданских служащих области посредством размещения информации на стендах в местах предоставления государственных услуг, на их официальных сайтах, на Едином портале государственных услуг и Портале государственных и муниципальных услуг Псковской области;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3) консультирование заявителей о порядке обжалования решений и действий (бездействия) Комитета, его должностных лиц либо государственных гражданских служащих области, в том числе по телефону, электронной почте, при личном приеме.</w:t>
      </w:r>
    </w:p>
    <w:p>
      <w:pPr>
        <w:pStyle w:val="ConsPlusNormal"/>
        <w:spacing w:before="220" w:after="0"/>
        <w:ind w:firstLine="540"/>
        <w:jc w:val="both"/>
        <w:rPr>
          <w:rFonts w:ascii="Times New Roman" w:hAnsi="Times New Roman" w:cs="Times New Roman"/>
          <w:sz w:val="28"/>
          <w:szCs w:val="28"/>
        </w:rPr>
      </w:pPr>
      <w:bookmarkStart w:id="28" w:name="P360"/>
      <w:bookmarkEnd w:id="28"/>
      <w:r>
        <w:rPr>
          <w:rFonts w:cs="Times New Roman" w:ascii="Times New Roman" w:hAnsi="Times New Roman"/>
          <w:sz w:val="28"/>
          <w:szCs w:val="28"/>
        </w:rPr>
        <w:t>15. Жалоба, поступившая в уполномоченный 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регистрации.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В случае обжалования отказа Комитета, его должностного лица в приеме документов у заявителя либо в исправлении допущенных опечаток и ошибок или в случае жалобы заявителя на нарушение установленного срока таких исправлений жалоба рассматривается в течение 5 рабочих дней со дня ее регистрации.</w:t>
      </w:r>
    </w:p>
    <w:p>
      <w:pPr>
        <w:pStyle w:val="ConsPlusNormal"/>
        <w:spacing w:before="220" w:after="0"/>
        <w:ind w:firstLine="540"/>
        <w:jc w:val="both"/>
        <w:rPr>
          <w:rFonts w:ascii="Times New Roman" w:hAnsi="Times New Roman" w:cs="Times New Roman"/>
          <w:sz w:val="28"/>
          <w:szCs w:val="28"/>
        </w:rPr>
      </w:pPr>
      <w:bookmarkStart w:id="29" w:name="P362"/>
      <w:bookmarkEnd w:id="29"/>
      <w:r>
        <w:rPr>
          <w:rFonts w:cs="Times New Roman" w:ascii="Times New Roman" w:hAnsi="Times New Roman"/>
          <w:sz w:val="28"/>
          <w:szCs w:val="28"/>
        </w:rPr>
        <w:t>16. По результатам рассмотрения жалобы уполномоченный на ее рассмотрение орган принимает одно из следующих решений:</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удовлетворяет жалобу, в том числе в форме отмены принятого решения, исправления допущенных Комитетом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Псковской области, а также в иных формах;</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отказывает в удовлетворении жалобы.</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При удовлетворении жалобы Комитет принимает исчерпывающие меры по устранению выявленных нарушений, в том числе по выдаче заявителю результата государственной услуги, не позднее дня истечения срока, указанного в пункте 15 настоящего раздела, если иное не установлено законодательством Российской Федерации и Псковской области.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Принятое по результатам рассмотрения жалобы решение может быть обжаловано в порядке, предусмотренном настоящим разделом, или в судебном порядке.</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17. Ответ по результатам рассмотрения жалобы направляется заявителю не позднее дня, следующего за днем принятия решения, указанного в пункте 16 настоящего раздела, в письменной форме.</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18. В ответе по результатам рассмотрения жалобы указываются:</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а) наименование органа исполнительной власти области, рассмотревшего жалобу, должность, фамилия, имя, отчество (при наличии) его должностного лица, принявшего решение по жалобе;</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б) номер, дата, место принятия решения, включая сведения о должностном лице, решение или действие (бездействие) которого обжалуется;</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в) фамилия, имя, отчество (при наличии) или наименование заявителя;</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г) основания для принятия решения по жалобе;</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д) принятое по жалобе решение;</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ж) сведения о порядке обжалования принятого по жалобе решения.</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19. Ответ по результатам рассмотрения жалобы подписывается уполномоченным на рассмотрение жалобы должностным лицом органа, рассмотревшего жалобу.</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По желанию заявителя ответ по результатам рассмотрения жалобы может быть представлен не позднее дня, следующего за днем принятия решения, указанного в пункте 16 настоящего раздела, в форме электронного документа, подписанного электронной подписью уполномоченного на рассмотрение жалобы должностного лица, вид которой установлен законодательством Российской Федерации.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20. Уполномоченный на рассмотрение жалобы орган отказывает в удовлетворении жалобы в следующих случаях:</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а) наличие вступившего в законную силу решения суда, арбитражного суда по жалобе о том же предмете и по тем же основаниям;</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б) подача жалобы лицом, полномочия которого не подтверждены в порядке, установленном законодательством Российской Федерации;</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в) наличие решения по жалобе, принятого ранее в соответствии с требованиями настоящего Положения в отношении того же заявителя и по тому же предмету жалобы.</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21. Уполномоченный на рассмотрение жалобы орган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рассмотрения по существу поставленных в ней вопросов и сообщить заявителю, направившему жалобу, в течение 7 дней со дня регистрации жалобы о недопустимости злоупотребления правом.</w:t>
      </w:r>
    </w:p>
    <w:p>
      <w:pPr>
        <w:pStyle w:val="ConsPlusNormal"/>
        <w:spacing w:before="220" w:after="0"/>
        <w:ind w:firstLine="540"/>
        <w:jc w:val="both"/>
        <w:rPr>
          <w:rFonts w:ascii="Times New Roman" w:hAnsi="Times New Roman" w:cs="Times New Roman"/>
          <w:sz w:val="28"/>
          <w:szCs w:val="28"/>
        </w:rPr>
      </w:pPr>
      <w:r>
        <w:rPr>
          <w:rFonts w:cs="Times New Roman" w:ascii="Times New Roman" w:hAnsi="Times New Roman"/>
          <w:sz w:val="28"/>
          <w:szCs w:val="28"/>
        </w:rPr>
        <w:t>В случае если текст жалобы не поддается прочтению, ответ на жалобу не дается, о чем в течение семи дней со дня поступления жалобы сообщается заявителю, если его фамилия (наименование юридического лица) и адрес поддаются прочтению.</w:t>
      </w:r>
    </w:p>
    <w:p>
      <w:pPr>
        <w:pStyle w:val="ConsPlusNormal"/>
        <w:rPr>
          <w:rFonts w:ascii="Times New Roman" w:hAnsi="Times New Roman" w:cs="Times New Roman"/>
          <w:sz w:val="28"/>
          <w:szCs w:val="28"/>
        </w:rPr>
      </w:pPr>
      <w:r>
        <w:rPr>
          <w:rFonts w:cs="Times New Roman" w:ascii="Times New Roman" w:hAnsi="Times New Roman"/>
          <w:sz w:val="28"/>
          <w:szCs w:val="28"/>
        </w:rPr>
      </w:r>
    </w:p>
    <w:p>
      <w:pPr>
        <w:pStyle w:val="ConsPlusNormal"/>
        <w:rPr>
          <w:rFonts w:ascii="Times New Roman" w:hAnsi="Times New Roman" w:cs="Times New Roman"/>
          <w:sz w:val="28"/>
          <w:szCs w:val="28"/>
        </w:rPr>
      </w:pPr>
      <w:r>
        <w:rPr>
          <w:rFonts w:cs="Times New Roman" w:ascii="Times New Roman" w:hAnsi="Times New Roman"/>
          <w:sz w:val="28"/>
          <w:szCs w:val="28"/>
        </w:rPr>
      </w:r>
    </w:p>
    <w:p>
      <w:pPr>
        <w:pStyle w:val="ConsPlusNormal"/>
        <w:rPr>
          <w:rFonts w:ascii="Times New Roman" w:hAnsi="Times New Roman" w:cs="Times New Roman"/>
          <w:sz w:val="28"/>
          <w:szCs w:val="28"/>
        </w:rPr>
      </w:pPr>
      <w:r>
        <w:rPr>
          <w:rFonts w:cs="Times New Roman" w:ascii="Times New Roman" w:hAnsi="Times New Roman"/>
          <w:sz w:val="28"/>
          <w:szCs w:val="28"/>
        </w:rPr>
      </w:r>
    </w:p>
    <w:p>
      <w:pPr>
        <w:pStyle w:val="ConsPlusNormal"/>
        <w:rPr>
          <w:rFonts w:ascii="Times New Roman" w:hAnsi="Times New Roman" w:cs="Times New Roman"/>
          <w:sz w:val="28"/>
          <w:szCs w:val="28"/>
        </w:rPr>
      </w:pPr>
      <w:r>
        <w:rPr>
          <w:rFonts w:cs="Times New Roman" w:ascii="Times New Roman" w:hAnsi="Times New Roman"/>
          <w:sz w:val="28"/>
          <w:szCs w:val="28"/>
        </w:rPr>
      </w:r>
    </w:p>
    <w:p>
      <w:pPr>
        <w:pStyle w:val="ConsPlusNormal"/>
        <w:rPr>
          <w:rFonts w:ascii="Times New Roman" w:hAnsi="Times New Roman" w:cs="Times New Roman"/>
          <w:sz w:val="28"/>
          <w:szCs w:val="28"/>
        </w:rPr>
      </w:pPr>
      <w:r>
        <w:rPr>
          <w:rFonts w:cs="Times New Roman" w:ascii="Times New Roman" w:hAnsi="Times New Roman"/>
          <w:sz w:val="28"/>
          <w:szCs w:val="28"/>
        </w:rPr>
      </w:r>
    </w:p>
    <w:p>
      <w:pPr>
        <w:pStyle w:val="ConsPlusNormal"/>
        <w:rPr>
          <w:rFonts w:ascii="Times New Roman" w:hAnsi="Times New Roman" w:cs="Times New Roman"/>
          <w:sz w:val="28"/>
          <w:szCs w:val="28"/>
        </w:rPr>
      </w:pPr>
      <w:r>
        <w:rPr>
          <w:rFonts w:cs="Times New Roman" w:ascii="Times New Roman" w:hAnsi="Times New Roman"/>
          <w:sz w:val="28"/>
          <w:szCs w:val="28"/>
        </w:rPr>
      </w:r>
    </w:p>
    <w:p>
      <w:pPr>
        <w:pStyle w:val="ConsPlusNormal"/>
        <w:rPr>
          <w:rFonts w:ascii="Times New Roman" w:hAnsi="Times New Roman" w:cs="Times New Roman"/>
          <w:sz w:val="28"/>
          <w:szCs w:val="28"/>
        </w:rPr>
      </w:pPr>
      <w:r>
        <w:rPr>
          <w:rFonts w:cs="Times New Roman" w:ascii="Times New Roman" w:hAnsi="Times New Roman"/>
          <w:sz w:val="28"/>
          <w:szCs w:val="28"/>
        </w:rPr>
      </w:r>
    </w:p>
    <w:p>
      <w:pPr>
        <w:pStyle w:val="ConsPlusNormal"/>
        <w:rPr>
          <w:rFonts w:ascii="Times New Roman" w:hAnsi="Times New Roman" w:cs="Times New Roman"/>
          <w:sz w:val="28"/>
          <w:szCs w:val="28"/>
        </w:rPr>
      </w:pPr>
      <w:r>
        <w:rPr>
          <w:rFonts w:cs="Times New Roman" w:ascii="Times New Roman" w:hAnsi="Times New Roman"/>
          <w:sz w:val="28"/>
          <w:szCs w:val="28"/>
        </w:rPr>
      </w:r>
    </w:p>
    <w:p>
      <w:pPr>
        <w:pStyle w:val="ConsPlusNormal"/>
        <w:rPr>
          <w:rFonts w:ascii="Times New Roman" w:hAnsi="Times New Roman" w:cs="Times New Roman"/>
          <w:sz w:val="28"/>
          <w:szCs w:val="28"/>
        </w:rPr>
      </w:pPr>
      <w:r>
        <w:rPr>
          <w:rFonts w:cs="Times New Roman" w:ascii="Times New Roman" w:hAnsi="Times New Roman"/>
          <w:sz w:val="28"/>
          <w:szCs w:val="28"/>
        </w:rPr>
      </w:r>
    </w:p>
    <w:p>
      <w:pPr>
        <w:sectPr>
          <w:type w:val="nextPage"/>
          <w:pgSz w:w="11906" w:h="16838"/>
          <w:pgMar w:left="1531" w:right="851" w:header="0" w:top="1021" w:footer="0" w:bottom="624" w:gutter="0"/>
          <w:pgNumType w:fmt="decimal"/>
          <w:formProt w:val="false"/>
          <w:titlePg/>
          <w:textDirection w:val="lrTb"/>
          <w:docGrid w:type="default" w:linePitch="600" w:charSpace="4294961151"/>
        </w:sectPr>
        <w:pStyle w:val="ConsPlusNormal"/>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right"/>
        <w:outlineLvl w:val="1"/>
        <w:rPr>
          <w:rFonts w:ascii="Times New Roman" w:hAnsi="Times New Roman" w:cs="Times New Roman"/>
          <w:sz w:val="28"/>
          <w:szCs w:val="28"/>
        </w:rPr>
      </w:pPr>
      <w:r>
        <w:rPr>
          <w:rFonts w:cs="Times New Roman" w:ascii="Times New Roman" w:hAnsi="Times New Roman"/>
          <w:sz w:val="28"/>
          <w:szCs w:val="28"/>
        </w:rPr>
        <w:t>Приложение 1</w:t>
      </w:r>
    </w:p>
    <w:p>
      <w:pPr>
        <w:pStyle w:val="ConsPlusNormal"/>
        <w:jc w:val="right"/>
        <w:rPr>
          <w:rFonts w:ascii="Times New Roman" w:hAnsi="Times New Roman" w:cs="Times New Roman"/>
          <w:sz w:val="28"/>
          <w:szCs w:val="28"/>
        </w:rPr>
      </w:pPr>
      <w:r>
        <w:rPr>
          <w:rFonts w:cs="Times New Roman" w:ascii="Times New Roman" w:hAnsi="Times New Roman"/>
          <w:sz w:val="28"/>
          <w:szCs w:val="28"/>
        </w:rPr>
        <w:t>к Административному регламенту</w:t>
      </w:r>
    </w:p>
    <w:p>
      <w:pPr>
        <w:pStyle w:val="ConsPlusNormal"/>
        <w:jc w:val="right"/>
        <w:rPr>
          <w:rFonts w:ascii="Times New Roman" w:hAnsi="Times New Roman" w:cs="Times New Roman"/>
          <w:sz w:val="28"/>
          <w:szCs w:val="28"/>
        </w:rPr>
      </w:pPr>
      <w:r>
        <w:rPr>
          <w:rFonts w:cs="Times New Roman" w:ascii="Times New Roman" w:hAnsi="Times New Roman"/>
          <w:sz w:val="28"/>
          <w:szCs w:val="28"/>
        </w:rPr>
        <w:t>предоставления Комитетом</w:t>
      </w:r>
    </w:p>
    <w:p>
      <w:pPr>
        <w:pStyle w:val="ConsPlusNormal"/>
        <w:jc w:val="right"/>
        <w:rPr>
          <w:rFonts w:ascii="Times New Roman" w:hAnsi="Times New Roman" w:cs="Times New Roman"/>
          <w:sz w:val="28"/>
          <w:szCs w:val="28"/>
        </w:rPr>
      </w:pPr>
      <w:r>
        <w:rPr>
          <w:rFonts w:cs="Times New Roman" w:ascii="Times New Roman" w:hAnsi="Times New Roman"/>
          <w:sz w:val="28"/>
          <w:szCs w:val="28"/>
        </w:rPr>
        <w:t>по природным ресурсам и экологии</w:t>
      </w:r>
    </w:p>
    <w:p>
      <w:pPr>
        <w:pStyle w:val="ConsPlusNormal"/>
        <w:jc w:val="right"/>
        <w:rPr>
          <w:rFonts w:ascii="Times New Roman" w:hAnsi="Times New Roman" w:cs="Times New Roman"/>
          <w:sz w:val="28"/>
          <w:szCs w:val="28"/>
        </w:rPr>
      </w:pPr>
      <w:r>
        <w:rPr>
          <w:rFonts w:cs="Times New Roman" w:ascii="Times New Roman" w:hAnsi="Times New Roman"/>
          <w:sz w:val="28"/>
          <w:szCs w:val="28"/>
        </w:rPr>
        <w:t>Псковской области государственной</w:t>
      </w:r>
    </w:p>
    <w:p>
      <w:pPr>
        <w:pStyle w:val="ConsPlusNormal"/>
        <w:jc w:val="right"/>
        <w:rPr>
          <w:rFonts w:ascii="Times New Roman" w:hAnsi="Times New Roman" w:cs="Times New Roman"/>
          <w:sz w:val="28"/>
          <w:szCs w:val="28"/>
        </w:rPr>
      </w:pPr>
      <w:r>
        <w:rPr>
          <w:rFonts w:cs="Times New Roman" w:ascii="Times New Roman" w:hAnsi="Times New Roman"/>
          <w:sz w:val="28"/>
          <w:szCs w:val="28"/>
        </w:rPr>
        <w:t>услуги по заключению договора о закреплении</w:t>
      </w:r>
    </w:p>
    <w:p>
      <w:pPr>
        <w:pStyle w:val="ConsPlusNormal"/>
        <w:jc w:val="right"/>
        <w:rPr>
          <w:rFonts w:ascii="Times New Roman" w:hAnsi="Times New Roman" w:cs="Times New Roman"/>
          <w:sz w:val="28"/>
          <w:szCs w:val="28"/>
        </w:rPr>
      </w:pPr>
      <w:r>
        <w:rPr>
          <w:rFonts w:cs="Times New Roman" w:ascii="Times New Roman" w:hAnsi="Times New Roman"/>
          <w:sz w:val="28"/>
          <w:szCs w:val="28"/>
        </w:rPr>
        <w:t>долей квот добычи (вылова) водных</w:t>
      </w:r>
    </w:p>
    <w:p>
      <w:pPr>
        <w:pStyle w:val="ConsPlusNormal"/>
        <w:jc w:val="right"/>
        <w:rPr>
          <w:rFonts w:ascii="Times New Roman" w:hAnsi="Times New Roman" w:cs="Times New Roman"/>
          <w:sz w:val="28"/>
          <w:szCs w:val="28"/>
        </w:rPr>
      </w:pPr>
      <w:r>
        <w:rPr>
          <w:rFonts w:cs="Times New Roman" w:ascii="Times New Roman" w:hAnsi="Times New Roman"/>
          <w:sz w:val="28"/>
          <w:szCs w:val="28"/>
        </w:rPr>
        <w:t>биологических ресурсов</w:t>
      </w:r>
    </w:p>
    <w:p>
      <w:pPr>
        <w:pStyle w:val="ConsPlusNormal"/>
        <w:jc w:val="center"/>
        <w:rPr>
          <w:rFonts w:ascii="Times New Roman" w:hAnsi="Times New Roman" w:cs="Times New Roman"/>
          <w:sz w:val="28"/>
          <w:szCs w:val="28"/>
        </w:rPr>
      </w:pPr>
      <w:r>
        <w:rPr>
          <w:rFonts w:cs="Times New Roman" w:ascii="Times New Roman" w:hAnsi="Times New Roman"/>
          <w:sz w:val="28"/>
          <w:szCs w:val="28"/>
        </w:rPr>
      </w:r>
    </w:p>
    <w:p>
      <w:pPr>
        <w:pStyle w:val="ConsPlusNormal"/>
        <w:jc w:val="center"/>
        <w:rPr>
          <w:rFonts w:ascii="Times New Roman" w:hAnsi="Times New Roman" w:cs="Times New Roman"/>
          <w:sz w:val="28"/>
          <w:szCs w:val="28"/>
        </w:rPr>
      </w:pPr>
      <w:bookmarkStart w:id="30" w:name="P619"/>
      <w:bookmarkEnd w:id="30"/>
      <w:r>
        <w:rPr>
          <w:rFonts w:cs="Times New Roman" w:ascii="Times New Roman" w:hAnsi="Times New Roman"/>
          <w:sz w:val="28"/>
          <w:szCs w:val="28"/>
        </w:rPr>
        <w:t>Блок-схема предоставления государственной услуги</w:t>
      </w:r>
    </w:p>
    <w:p>
      <w:pPr>
        <w:pStyle w:val="ConsPlusNormal"/>
        <w:rPr/>
      </w:pPr>
      <w:r>
        <w:rPr/>
        <mc:AlternateContent>
          <mc:Choice Requires="wps">
            <w:drawing>
              <wp:anchor behindDoc="1" distT="0" distB="0" distL="114300" distR="114300" simplePos="0" locked="0" layoutInCell="1" allowOverlap="1" relativeHeight="14">
                <wp:simplePos x="0" y="0"/>
                <wp:positionH relativeFrom="column">
                  <wp:posOffset>4832985</wp:posOffset>
                </wp:positionH>
                <wp:positionV relativeFrom="paragraph">
                  <wp:posOffset>393065</wp:posOffset>
                </wp:positionV>
                <wp:extent cx="1270" cy="133985"/>
                <wp:effectExtent l="0" t="0" r="0" b="0"/>
                <wp:wrapNone/>
                <wp:docPr id="3" name=""/>
                <a:graphic xmlns:a="http://schemas.openxmlformats.org/drawingml/2006/main">
                  <a:graphicData uri="http://schemas.microsoft.com/office/word/2010/wordprocessingShape">
                    <wps:wsp>
                      <wps:cNvSpPr/>
                      <wps:spPr>
                        <a:xfrm>
                          <a:off x="0" y="0"/>
                          <a:ext cx="720" cy="133200"/>
                        </a:xfrm>
                        <a:custGeom>
                          <a:avLst/>
                          <a:gdLst/>
                          <a:ahLst/>
                          <a:rect l="l" t="t" r="r" b="b"/>
                          <a:pathLst>
                            <a:path w="21600" h="21600">
                              <a:moveTo>
                                <a:pt x="0" y="0"/>
                              </a:moveTo>
                              <a:lnTo>
                                <a:pt x="21600" y="21600"/>
                              </a:lnTo>
                            </a:path>
                          </a:pathLst>
                        </a:custGeom>
                        <a:noFill/>
                        <a:ln>
                          <a:solidFill>
                            <a:srgbClr val="000000"/>
                          </a:solidFill>
                          <a:tailEnd len="med" type="triangle" w="med"/>
                        </a:ln>
                      </wps:spPr>
                      <wps:style>
                        <a:lnRef idx="0"/>
                        <a:fillRef idx="0"/>
                        <a:effectRef idx="0"/>
                        <a:fontRef idx="minor"/>
                      </wps:style>
                      <wps:bodyPr/>
                    </wps:wsp>
                  </a:graphicData>
                </a:graphic>
              </wp:anchor>
            </w:drawing>
          </mc:Choice>
          <mc:Fallback>
            <w:pict>
              <v:shapetype id="shapetype_32" coordsize="21600,21600" o:spt="32" path="m,l21600,21600nfe">
                <v:stroke joinstyle="miter"/>
                <v:path gradientshapeok="t" o:connecttype="rect" textboxrect="0,0,21600,21600"/>
              </v:shapetype>
              <v:shape id="shape_0" stroked="t" style="position:absolute;margin-left:380.55pt;margin-top:30.95pt;width:0pt;height:10.45pt" type="shapetype_32">
                <w10:wrap type="none"/>
                <v:fill o:detectmouseclick="t" on="false"/>
                <v:stroke color="black" endarrow="block" endarrowwidth="medium" endarrowlength="medium" joinstyle="round" endcap="flat"/>
              </v:shape>
            </w:pict>
          </mc:Fallback>
        </mc:AlternateContent>
        <mc:AlternateContent>
          <mc:Choice Requires="wps">
            <w:drawing>
              <wp:anchor behindDoc="1" distT="0" distB="0" distL="114300" distR="114300" simplePos="0" locked="0" layoutInCell="1" allowOverlap="1" relativeHeight="15">
                <wp:simplePos x="0" y="0"/>
                <wp:positionH relativeFrom="column">
                  <wp:posOffset>4832985</wp:posOffset>
                </wp:positionH>
                <wp:positionV relativeFrom="paragraph">
                  <wp:posOffset>793115</wp:posOffset>
                </wp:positionV>
                <wp:extent cx="1270" cy="219710"/>
                <wp:effectExtent l="0" t="0" r="0" b="0"/>
                <wp:wrapNone/>
                <wp:docPr id="4" name=""/>
                <a:graphic xmlns:a="http://schemas.openxmlformats.org/drawingml/2006/main">
                  <a:graphicData uri="http://schemas.microsoft.com/office/word/2010/wordprocessingShape">
                    <wps:wsp>
                      <wps:cNvSpPr/>
                      <wps:spPr>
                        <a:xfrm>
                          <a:off x="0" y="0"/>
                          <a:ext cx="720" cy="219240"/>
                        </a:xfrm>
                        <a:custGeom>
                          <a:avLst/>
                          <a:gdLst/>
                          <a:ahLst/>
                          <a:rect l="l" t="t" r="r" b="b"/>
                          <a:pathLst>
                            <a:path w="21600" h="21600">
                              <a:moveTo>
                                <a:pt x="0" y="0"/>
                              </a:moveTo>
                              <a:lnTo>
                                <a:pt x="21600" y="21600"/>
                              </a:lnTo>
                            </a:path>
                          </a:pathLst>
                        </a:custGeom>
                        <a:noFill/>
                        <a:ln>
                          <a:solidFill>
                            <a:srgbClr val="000000"/>
                          </a:solidFill>
                          <a:tailEnd len="med" type="triangle" w="med"/>
                        </a:ln>
                      </wps:spPr>
                      <wps:style>
                        <a:lnRef idx="0"/>
                        <a:fillRef idx="0"/>
                        <a:effectRef idx="0"/>
                        <a:fontRef idx="minor"/>
                      </wps:style>
                      <wps:bodyPr/>
                    </wps:wsp>
                  </a:graphicData>
                </a:graphic>
              </wp:anchor>
            </w:drawing>
          </mc:Choice>
          <mc:Fallback>
            <w:pict>
              <v:shape id="shape_0" stroked="t" style="position:absolute;margin-left:380.55pt;margin-top:62.45pt;width:0pt;height:17.2pt" type="shapetype_32">
                <w10:wrap type="none"/>
                <v:fill o:detectmouseclick="t" on="false"/>
                <v:stroke color="black" endarrow="block" endarrowwidth="medium" endarrowlength="medium" joinstyle="round" endcap="flat"/>
              </v:shape>
            </w:pict>
          </mc:Fallback>
        </mc:AlternateContent>
        <mc:AlternateContent>
          <mc:Choice Requires="wps">
            <w:drawing>
              <wp:anchor behindDoc="1" distT="0" distB="0" distL="114300" distR="114300" simplePos="0" locked="0" layoutInCell="1" allowOverlap="1" relativeHeight="16">
                <wp:simplePos x="0" y="0"/>
                <wp:positionH relativeFrom="column">
                  <wp:posOffset>1718310</wp:posOffset>
                </wp:positionH>
                <wp:positionV relativeFrom="paragraph">
                  <wp:posOffset>793115</wp:posOffset>
                </wp:positionV>
                <wp:extent cx="1270" cy="219710"/>
                <wp:effectExtent l="0" t="0" r="0" b="0"/>
                <wp:wrapNone/>
                <wp:docPr id="5" name=""/>
                <a:graphic xmlns:a="http://schemas.openxmlformats.org/drawingml/2006/main">
                  <a:graphicData uri="http://schemas.microsoft.com/office/word/2010/wordprocessingShape">
                    <wps:wsp>
                      <wps:cNvSpPr/>
                      <wps:spPr>
                        <a:xfrm>
                          <a:off x="0" y="0"/>
                          <a:ext cx="720" cy="219240"/>
                        </a:xfrm>
                        <a:custGeom>
                          <a:avLst/>
                          <a:gdLst/>
                          <a:ahLst/>
                          <a:rect l="l" t="t" r="r" b="b"/>
                          <a:pathLst>
                            <a:path w="21600" h="21600">
                              <a:moveTo>
                                <a:pt x="0" y="0"/>
                              </a:moveTo>
                              <a:lnTo>
                                <a:pt x="21600" y="21600"/>
                              </a:lnTo>
                            </a:path>
                          </a:pathLst>
                        </a:custGeom>
                        <a:noFill/>
                        <a:ln>
                          <a:solidFill>
                            <a:srgbClr val="000000"/>
                          </a:solidFill>
                          <a:tailEnd len="med" type="triangle" w="med"/>
                        </a:ln>
                      </wps:spPr>
                      <wps:style>
                        <a:lnRef idx="0"/>
                        <a:fillRef idx="0"/>
                        <a:effectRef idx="0"/>
                        <a:fontRef idx="minor"/>
                      </wps:style>
                      <wps:bodyPr/>
                    </wps:wsp>
                  </a:graphicData>
                </a:graphic>
              </wp:anchor>
            </w:drawing>
          </mc:Choice>
          <mc:Fallback>
            <w:pict>
              <v:shape id="shape_0" stroked="t" style="position:absolute;margin-left:135.3pt;margin-top:62.45pt;width:0pt;height:17.2pt" type="shapetype_32">
                <w10:wrap type="none"/>
                <v:fill o:detectmouseclick="t" on="false"/>
                <v:stroke color="black" endarrow="block" endarrowwidth="medium" endarrowlength="medium" joinstyle="round" endcap="flat"/>
              </v:shape>
            </w:pict>
          </mc:Fallback>
        </mc:AlternateContent>
        <mc:AlternateContent>
          <mc:Choice Requires="wps">
            <w:drawing>
              <wp:anchor behindDoc="1" distT="0" distB="0" distL="114300" distR="114300" simplePos="0" locked="0" layoutInCell="1" allowOverlap="1" relativeHeight="17">
                <wp:simplePos x="0" y="0"/>
                <wp:positionH relativeFrom="column">
                  <wp:posOffset>7890510</wp:posOffset>
                </wp:positionH>
                <wp:positionV relativeFrom="paragraph">
                  <wp:posOffset>793115</wp:posOffset>
                </wp:positionV>
                <wp:extent cx="1270" cy="219710"/>
                <wp:effectExtent l="0" t="0" r="0" b="0"/>
                <wp:wrapNone/>
                <wp:docPr id="6" name=""/>
                <a:graphic xmlns:a="http://schemas.openxmlformats.org/drawingml/2006/main">
                  <a:graphicData uri="http://schemas.microsoft.com/office/word/2010/wordprocessingShape">
                    <wps:wsp>
                      <wps:cNvSpPr/>
                      <wps:spPr>
                        <a:xfrm>
                          <a:off x="0" y="0"/>
                          <a:ext cx="720" cy="219240"/>
                        </a:xfrm>
                        <a:custGeom>
                          <a:avLst/>
                          <a:gdLst/>
                          <a:ahLst/>
                          <a:rect l="l" t="t" r="r" b="b"/>
                          <a:pathLst>
                            <a:path w="21600" h="21600">
                              <a:moveTo>
                                <a:pt x="0" y="0"/>
                              </a:moveTo>
                              <a:lnTo>
                                <a:pt x="21600" y="21600"/>
                              </a:lnTo>
                            </a:path>
                          </a:pathLst>
                        </a:custGeom>
                        <a:noFill/>
                        <a:ln>
                          <a:solidFill>
                            <a:srgbClr val="000000"/>
                          </a:solidFill>
                          <a:tailEnd len="med" type="triangle" w="med"/>
                        </a:ln>
                      </wps:spPr>
                      <wps:style>
                        <a:lnRef idx="0"/>
                        <a:fillRef idx="0"/>
                        <a:effectRef idx="0"/>
                        <a:fontRef idx="minor"/>
                      </wps:style>
                      <wps:bodyPr/>
                    </wps:wsp>
                  </a:graphicData>
                </a:graphic>
              </wp:anchor>
            </w:drawing>
          </mc:Choice>
          <mc:Fallback>
            <w:pict>
              <v:shape id="shape_0" stroked="t" style="position:absolute;margin-left:621.3pt;margin-top:62.45pt;width:0pt;height:17.2pt" type="shapetype_32">
                <w10:wrap type="none"/>
                <v:fill o:detectmouseclick="t" on="false"/>
                <v:stroke color="black" endarrow="block" endarrowwidth="medium" endarrowlength="medium" joinstyle="round" endcap="flat"/>
              </v:shape>
            </w:pict>
          </mc:Fallback>
        </mc:AlternateContent>
        <mc:AlternateContent>
          <mc:Choice Requires="wps">
            <w:drawing>
              <wp:anchor behindDoc="1" distT="0" distB="0" distL="114300" distR="114300" simplePos="0" locked="0" layoutInCell="1" allowOverlap="1" relativeHeight="18">
                <wp:simplePos x="0" y="0"/>
                <wp:positionH relativeFrom="column">
                  <wp:posOffset>384810</wp:posOffset>
                </wp:positionH>
                <wp:positionV relativeFrom="paragraph">
                  <wp:posOffset>1755140</wp:posOffset>
                </wp:positionV>
                <wp:extent cx="1270" cy="372110"/>
                <wp:effectExtent l="0" t="0" r="0" b="0"/>
                <wp:wrapNone/>
                <wp:docPr id="7" name=""/>
                <a:graphic xmlns:a="http://schemas.openxmlformats.org/drawingml/2006/main">
                  <a:graphicData uri="http://schemas.microsoft.com/office/word/2010/wordprocessingShape">
                    <wps:wsp>
                      <wps:cNvSpPr/>
                      <wps:spPr>
                        <a:xfrm>
                          <a:off x="0" y="0"/>
                          <a:ext cx="720" cy="371520"/>
                        </a:xfrm>
                        <a:custGeom>
                          <a:avLst/>
                          <a:gdLst/>
                          <a:ahLst/>
                          <a:rect l="l" t="t" r="r" b="b"/>
                          <a:pathLst>
                            <a:path w="21600" h="21600">
                              <a:moveTo>
                                <a:pt x="0" y="0"/>
                              </a:moveTo>
                              <a:lnTo>
                                <a:pt x="21600" y="21600"/>
                              </a:lnTo>
                            </a:path>
                          </a:pathLst>
                        </a:custGeom>
                        <a:noFill/>
                        <a:ln>
                          <a:solidFill>
                            <a:srgbClr val="000000"/>
                          </a:solidFill>
                          <a:tailEnd len="med" type="triangle" w="med"/>
                        </a:ln>
                      </wps:spPr>
                      <wps:style>
                        <a:lnRef idx="0"/>
                        <a:fillRef idx="0"/>
                        <a:effectRef idx="0"/>
                        <a:fontRef idx="minor"/>
                      </wps:style>
                      <wps:bodyPr/>
                    </wps:wsp>
                  </a:graphicData>
                </a:graphic>
              </wp:anchor>
            </w:drawing>
          </mc:Choice>
          <mc:Fallback>
            <w:pict>
              <v:shape id="shape_0" stroked="t" style="position:absolute;margin-left:30.3pt;margin-top:138.2pt;width:0pt;height:29.2pt" type="shapetype_32">
                <w10:wrap type="none"/>
                <v:fill o:detectmouseclick="t" on="false"/>
                <v:stroke color="black" endarrow="block" endarrowwidth="medium" endarrowlength="medium" joinstyle="round" endcap="flat"/>
              </v:shape>
            </w:pict>
          </mc:Fallback>
        </mc:AlternateContent>
        <mc:AlternateContent>
          <mc:Choice Requires="wps">
            <w:drawing>
              <wp:anchor behindDoc="1" distT="0" distB="0" distL="114300" distR="114300" simplePos="0" locked="0" layoutInCell="1" allowOverlap="1" relativeHeight="19">
                <wp:simplePos x="0" y="0"/>
                <wp:positionH relativeFrom="column">
                  <wp:posOffset>2299335</wp:posOffset>
                </wp:positionH>
                <wp:positionV relativeFrom="paragraph">
                  <wp:posOffset>1755140</wp:posOffset>
                </wp:positionV>
                <wp:extent cx="1270" cy="372110"/>
                <wp:effectExtent l="0" t="0" r="0" b="0"/>
                <wp:wrapNone/>
                <wp:docPr id="8" name=""/>
                <a:graphic xmlns:a="http://schemas.openxmlformats.org/drawingml/2006/main">
                  <a:graphicData uri="http://schemas.microsoft.com/office/word/2010/wordprocessingShape">
                    <wps:wsp>
                      <wps:cNvSpPr/>
                      <wps:spPr>
                        <a:xfrm>
                          <a:off x="0" y="0"/>
                          <a:ext cx="720" cy="371520"/>
                        </a:xfrm>
                        <a:custGeom>
                          <a:avLst/>
                          <a:gdLst/>
                          <a:ahLst/>
                          <a:rect l="l" t="t" r="r" b="b"/>
                          <a:pathLst>
                            <a:path w="21600" h="21600">
                              <a:moveTo>
                                <a:pt x="0" y="0"/>
                              </a:moveTo>
                              <a:lnTo>
                                <a:pt x="21600" y="21600"/>
                              </a:lnTo>
                            </a:path>
                          </a:pathLst>
                        </a:custGeom>
                        <a:noFill/>
                        <a:ln>
                          <a:solidFill>
                            <a:srgbClr val="000000"/>
                          </a:solidFill>
                          <a:tailEnd len="med" type="triangle" w="med"/>
                        </a:ln>
                      </wps:spPr>
                      <wps:style>
                        <a:lnRef idx="0"/>
                        <a:fillRef idx="0"/>
                        <a:effectRef idx="0"/>
                        <a:fontRef idx="minor"/>
                      </wps:style>
                      <wps:bodyPr/>
                    </wps:wsp>
                  </a:graphicData>
                </a:graphic>
              </wp:anchor>
            </w:drawing>
          </mc:Choice>
          <mc:Fallback>
            <w:pict>
              <v:shape id="shape_0" stroked="t" style="position:absolute;margin-left:181.05pt;margin-top:138.2pt;width:0pt;height:29.2pt" type="shapetype_32">
                <w10:wrap type="none"/>
                <v:fill o:detectmouseclick="t" on="false"/>
                <v:stroke color="black" endarrow="block" endarrowwidth="medium" endarrowlength="medium" joinstyle="round" endcap="flat"/>
              </v:shape>
            </w:pict>
          </mc:Fallback>
        </mc:AlternateContent>
        <mc:AlternateContent>
          <mc:Choice Requires="wps">
            <w:drawing>
              <wp:anchor behindDoc="1" distT="0" distB="0" distL="114300" distR="114300" simplePos="0" locked="0" layoutInCell="1" allowOverlap="1" relativeHeight="20">
                <wp:simplePos x="0" y="0"/>
                <wp:positionH relativeFrom="column">
                  <wp:posOffset>5019040</wp:posOffset>
                </wp:positionH>
                <wp:positionV relativeFrom="paragraph">
                  <wp:posOffset>2418715</wp:posOffset>
                </wp:positionV>
                <wp:extent cx="1270" cy="124460"/>
                <wp:effectExtent l="0" t="0" r="0" b="0"/>
                <wp:wrapNone/>
                <wp:docPr id="9" name=""/>
                <a:graphic xmlns:a="http://schemas.openxmlformats.org/drawingml/2006/main">
                  <a:graphicData uri="http://schemas.microsoft.com/office/word/2010/wordprocessingShape">
                    <wps:wsp>
                      <wps:cNvSpPr/>
                      <wps:spPr>
                        <a:xfrm>
                          <a:off x="0" y="0"/>
                          <a:ext cx="720" cy="123840"/>
                        </a:xfrm>
                        <a:custGeom>
                          <a:avLst/>
                          <a:gdLst/>
                          <a:ahLst/>
                          <a:rect l="l" t="t" r="r" b="b"/>
                          <a:pathLst>
                            <a:path w="21600" h="21600">
                              <a:moveTo>
                                <a:pt x="0" y="0"/>
                              </a:moveTo>
                              <a:lnTo>
                                <a:pt x="21600" y="21600"/>
                              </a:lnTo>
                            </a:path>
                          </a:pathLst>
                        </a:custGeom>
                        <a:noFill/>
                        <a:ln>
                          <a:solidFill>
                            <a:srgbClr val="000000"/>
                          </a:solidFill>
                          <a:tailEnd len="med" type="triangle" w="med"/>
                        </a:ln>
                      </wps:spPr>
                      <wps:style>
                        <a:lnRef idx="0"/>
                        <a:fillRef idx="0"/>
                        <a:effectRef idx="0"/>
                        <a:fontRef idx="minor"/>
                      </wps:style>
                      <wps:bodyPr/>
                    </wps:wsp>
                  </a:graphicData>
                </a:graphic>
              </wp:anchor>
            </w:drawing>
          </mc:Choice>
          <mc:Fallback>
            <w:pict>
              <v:shape id="shape_0" stroked="t" style="position:absolute;margin-left:395.2pt;margin-top:190.45pt;width:0pt;height:9.7pt" type="shapetype_32">
                <w10:wrap type="none"/>
                <v:fill o:detectmouseclick="t" on="false"/>
                <v:stroke color="black" endarrow="block" endarrowwidth="medium" endarrowlength="medium" joinstyle="round" endcap="flat"/>
              </v:shape>
            </w:pict>
          </mc:Fallback>
        </mc:AlternateContent>
        <mc:AlternateContent>
          <mc:Choice Requires="wps">
            <w:drawing>
              <wp:anchor behindDoc="1" distT="0" distB="0" distL="114300" distR="114300" simplePos="0" locked="0" layoutInCell="1" allowOverlap="1" relativeHeight="21">
                <wp:simplePos x="0" y="0"/>
                <wp:positionH relativeFrom="column">
                  <wp:posOffset>3832860</wp:posOffset>
                </wp:positionH>
                <wp:positionV relativeFrom="paragraph">
                  <wp:posOffset>2961640</wp:posOffset>
                </wp:positionV>
                <wp:extent cx="1270" cy="143510"/>
                <wp:effectExtent l="0" t="0" r="0" b="0"/>
                <wp:wrapNone/>
                <wp:docPr id="10" name=""/>
                <a:graphic xmlns:a="http://schemas.openxmlformats.org/drawingml/2006/main">
                  <a:graphicData uri="http://schemas.microsoft.com/office/word/2010/wordprocessingShape">
                    <wps:wsp>
                      <wps:cNvSpPr/>
                      <wps:spPr>
                        <a:xfrm>
                          <a:off x="0" y="0"/>
                          <a:ext cx="720" cy="142920"/>
                        </a:xfrm>
                        <a:custGeom>
                          <a:avLst/>
                          <a:gdLst/>
                          <a:ahLst/>
                          <a:rect l="l" t="t" r="r" b="b"/>
                          <a:pathLst>
                            <a:path w="21600" h="21600">
                              <a:moveTo>
                                <a:pt x="0" y="0"/>
                              </a:moveTo>
                              <a:lnTo>
                                <a:pt x="21600" y="21600"/>
                              </a:lnTo>
                            </a:path>
                          </a:pathLst>
                        </a:custGeom>
                        <a:noFill/>
                        <a:ln>
                          <a:solidFill>
                            <a:srgbClr val="000000"/>
                          </a:solidFill>
                          <a:tailEnd len="med" type="triangle" w="med"/>
                        </a:ln>
                      </wps:spPr>
                      <wps:style>
                        <a:lnRef idx="0"/>
                        <a:fillRef idx="0"/>
                        <a:effectRef idx="0"/>
                        <a:fontRef idx="minor"/>
                      </wps:style>
                      <wps:bodyPr/>
                    </wps:wsp>
                  </a:graphicData>
                </a:graphic>
              </wp:anchor>
            </w:drawing>
          </mc:Choice>
          <mc:Fallback>
            <w:pict>
              <v:shape id="shape_0" stroked="t" style="position:absolute;margin-left:301.8pt;margin-top:233.2pt;width:0pt;height:11.2pt" type="shapetype_32">
                <w10:wrap type="none"/>
                <v:fill o:detectmouseclick="t" on="false"/>
                <v:stroke color="black" endarrow="block" endarrowwidth="medium" endarrowlength="medium" joinstyle="round" endcap="flat"/>
              </v:shape>
            </w:pict>
          </mc:Fallback>
        </mc:AlternateContent>
        <mc:AlternateContent>
          <mc:Choice Requires="wps">
            <w:drawing>
              <wp:anchor behindDoc="1" distT="0" distB="0" distL="114300" distR="114300" simplePos="0" locked="0" layoutInCell="1" allowOverlap="1" relativeHeight="22">
                <wp:simplePos x="0" y="0"/>
                <wp:positionH relativeFrom="column">
                  <wp:posOffset>5737860</wp:posOffset>
                </wp:positionH>
                <wp:positionV relativeFrom="paragraph">
                  <wp:posOffset>2961640</wp:posOffset>
                </wp:positionV>
                <wp:extent cx="1270" cy="143510"/>
                <wp:effectExtent l="0" t="0" r="0" b="0"/>
                <wp:wrapNone/>
                <wp:docPr id="11" name=""/>
                <a:graphic xmlns:a="http://schemas.openxmlformats.org/drawingml/2006/main">
                  <a:graphicData uri="http://schemas.microsoft.com/office/word/2010/wordprocessingShape">
                    <wps:wsp>
                      <wps:cNvSpPr/>
                      <wps:spPr>
                        <a:xfrm>
                          <a:off x="0" y="0"/>
                          <a:ext cx="720" cy="142920"/>
                        </a:xfrm>
                        <a:custGeom>
                          <a:avLst/>
                          <a:gdLst/>
                          <a:ahLst/>
                          <a:rect l="l" t="t" r="r" b="b"/>
                          <a:pathLst>
                            <a:path w="21600" h="21600">
                              <a:moveTo>
                                <a:pt x="0" y="0"/>
                              </a:moveTo>
                              <a:lnTo>
                                <a:pt x="21600" y="21600"/>
                              </a:lnTo>
                            </a:path>
                          </a:pathLst>
                        </a:custGeom>
                        <a:noFill/>
                        <a:ln>
                          <a:solidFill>
                            <a:srgbClr val="000000"/>
                          </a:solidFill>
                          <a:tailEnd len="med" type="triangle" w="med"/>
                        </a:ln>
                      </wps:spPr>
                      <wps:style>
                        <a:lnRef idx="0"/>
                        <a:fillRef idx="0"/>
                        <a:effectRef idx="0"/>
                        <a:fontRef idx="minor"/>
                      </wps:style>
                      <wps:bodyPr/>
                    </wps:wsp>
                  </a:graphicData>
                </a:graphic>
              </wp:anchor>
            </w:drawing>
          </mc:Choice>
          <mc:Fallback>
            <w:pict>
              <v:shape id="shape_0" stroked="t" style="position:absolute;margin-left:451.8pt;margin-top:233.2pt;width:0pt;height:11.2pt" type="shapetype_32">
                <w10:wrap type="none"/>
                <v:fill o:detectmouseclick="t" on="false"/>
                <v:stroke color="black" endarrow="block" endarrowwidth="medium" endarrowlength="medium" joinstyle="round" endcap="flat"/>
              </v:shape>
            </w:pict>
          </mc:Fallback>
        </mc:AlternateContent>
        <mc:AlternateContent>
          <mc:Choice Requires="wps">
            <w:drawing>
              <wp:anchor behindDoc="1" distT="0" distB="0" distL="114300" distR="114300" simplePos="0" locked="0" layoutInCell="1" allowOverlap="1" relativeHeight="23">
                <wp:simplePos x="0" y="0"/>
                <wp:positionH relativeFrom="column">
                  <wp:posOffset>7433310</wp:posOffset>
                </wp:positionH>
                <wp:positionV relativeFrom="paragraph">
                  <wp:posOffset>2345690</wp:posOffset>
                </wp:positionV>
                <wp:extent cx="10160" cy="254635"/>
                <wp:effectExtent l="0" t="0" r="0" b="0"/>
                <wp:wrapNone/>
                <wp:docPr id="12" name=""/>
                <a:graphic xmlns:a="http://schemas.openxmlformats.org/drawingml/2006/main">
                  <a:graphicData uri="http://schemas.microsoft.com/office/word/2010/wordprocessingShape">
                    <wps:wsp>
                      <wps:cNvSpPr/>
                      <wps:spPr>
                        <a:xfrm>
                          <a:off x="0" y="0"/>
                          <a:ext cx="9360" cy="254160"/>
                        </a:xfrm>
                        <a:custGeom>
                          <a:avLst/>
                          <a:gdLst/>
                          <a:ahLst/>
                          <a:rect l="l" t="t" r="r" b="b"/>
                          <a:pathLst>
                            <a:path w="21600" h="21600">
                              <a:moveTo>
                                <a:pt x="0" y="0"/>
                              </a:moveTo>
                              <a:lnTo>
                                <a:pt x="21600" y="21600"/>
                              </a:lnTo>
                            </a:path>
                          </a:pathLst>
                        </a:custGeom>
                        <a:noFill/>
                        <a:ln>
                          <a:solidFill>
                            <a:srgbClr val="000000"/>
                          </a:solidFill>
                          <a:tailEnd len="med" type="triangle" w="med"/>
                        </a:ln>
                      </wps:spPr>
                      <wps:style>
                        <a:lnRef idx="0"/>
                        <a:fillRef idx="0"/>
                        <a:effectRef idx="0"/>
                        <a:fontRef idx="minor"/>
                      </wps:style>
                      <wps:bodyPr/>
                    </wps:wsp>
                  </a:graphicData>
                </a:graphic>
              </wp:anchor>
            </w:drawing>
          </mc:Choice>
          <mc:Fallback>
            <w:pict>
              <v:shape id="shape_0" stroked="t" style="position:absolute;margin-left:585.3pt;margin-top:184.7pt;width:0.7pt;height:19.95pt" type="shapetype_32">
                <w10:wrap type="none"/>
                <v:fill o:detectmouseclick="t" on="false"/>
                <v:stroke color="black" endarrow="block" endarrowwidth="medium" endarrowlength="medium" joinstyle="round" endcap="flat"/>
              </v:shape>
            </w:pict>
          </mc:Fallback>
        </mc:AlternateContent>
        <mc:AlternateContent>
          <mc:Choice Requires="wps">
            <w:drawing>
              <wp:anchor behindDoc="1" distT="0" distB="0" distL="114300" distR="114300" simplePos="0" locked="0" layoutInCell="1" allowOverlap="1" relativeHeight="24">
                <wp:simplePos x="0" y="0"/>
                <wp:positionH relativeFrom="column">
                  <wp:posOffset>9204960</wp:posOffset>
                </wp:positionH>
                <wp:positionV relativeFrom="paragraph">
                  <wp:posOffset>2345690</wp:posOffset>
                </wp:positionV>
                <wp:extent cx="10160" cy="254635"/>
                <wp:effectExtent l="0" t="0" r="0" b="0"/>
                <wp:wrapNone/>
                <wp:docPr id="13" name=""/>
                <a:graphic xmlns:a="http://schemas.openxmlformats.org/drawingml/2006/main">
                  <a:graphicData uri="http://schemas.microsoft.com/office/word/2010/wordprocessingShape">
                    <wps:wsp>
                      <wps:cNvSpPr/>
                      <wps:spPr>
                        <a:xfrm>
                          <a:off x="0" y="0"/>
                          <a:ext cx="9360" cy="254160"/>
                        </a:xfrm>
                        <a:custGeom>
                          <a:avLst/>
                          <a:gdLst/>
                          <a:ahLst/>
                          <a:rect l="l" t="t" r="r" b="b"/>
                          <a:pathLst>
                            <a:path w="21600" h="21600">
                              <a:moveTo>
                                <a:pt x="0" y="0"/>
                              </a:moveTo>
                              <a:lnTo>
                                <a:pt x="21600" y="21600"/>
                              </a:lnTo>
                            </a:path>
                          </a:pathLst>
                        </a:custGeom>
                        <a:noFill/>
                        <a:ln>
                          <a:solidFill>
                            <a:srgbClr val="000000"/>
                          </a:solidFill>
                          <a:tailEnd len="med" type="triangle" w="med"/>
                        </a:ln>
                      </wps:spPr>
                      <wps:style>
                        <a:lnRef idx="0"/>
                        <a:fillRef idx="0"/>
                        <a:effectRef idx="0"/>
                        <a:fontRef idx="minor"/>
                      </wps:style>
                      <wps:bodyPr/>
                    </wps:wsp>
                  </a:graphicData>
                </a:graphic>
              </wp:anchor>
            </w:drawing>
          </mc:Choice>
          <mc:Fallback>
            <w:pict>
              <v:shape id="shape_0" stroked="t" style="position:absolute;margin-left:724.8pt;margin-top:184.7pt;width:0.7pt;height:19.95pt" type="shapetype_32">
                <w10:wrap type="none"/>
                <v:fill o:detectmouseclick="t" on="false"/>
                <v:stroke color="black" endarrow="block" endarrowwidth="medium" endarrowlength="medium" joinstyle="round" endcap="flat"/>
              </v:shape>
            </w:pict>
          </mc:Fallback>
        </mc:AlternateContent>
      </w:r>
      <w:r>
        <mc:AlternateContent>
          <mc:Choice Requires="wps">
            <w:drawing>
              <wp:anchor behindDoc="0" distT="0" distB="0" distL="114300" distR="114300" simplePos="0" locked="0" layoutInCell="1" allowOverlap="1" relativeHeight="2">
                <wp:simplePos x="0" y="0"/>
                <wp:positionH relativeFrom="column">
                  <wp:posOffset>908685</wp:posOffset>
                </wp:positionH>
                <wp:positionV relativeFrom="paragraph">
                  <wp:posOffset>126365</wp:posOffset>
                </wp:positionV>
                <wp:extent cx="8181975" cy="266700"/>
                <wp:effectExtent l="0" t="0" r="0" b="0"/>
                <wp:wrapNone/>
                <wp:docPr id="14" name=""/>
                <a:graphic xmlns:a="http://schemas.openxmlformats.org/drawingml/2006/main">
                  <a:graphicData uri="http://schemas.microsoft.com/office/word/2010/wordprocessingShape">
                    <wps:wsp>
                      <wps:cNvSpPr txBox="1"/>
                      <wps:spPr>
                        <a:xfrm>
                          <a:off x="0" y="0"/>
                          <a:ext cx="8181975" cy="266700"/>
                        </a:xfrm>
                        <a:prstGeom prst="rect"/>
                        <a:solidFill>
                          <a:srgbClr val="FFFFFF"/>
                        </a:solidFill>
                        <a:ln w="635">
                          <a:solidFill>
                            <a:srgbClr val="000000"/>
                          </a:solidFill>
                        </a:ln>
                      </wps:spPr>
                      <wps:txbx>
                        <w:txbxContent>
                          <w:p>
                            <w:pPr>
                              <w:pStyle w:val="Style25"/>
                              <w:jc w:val="center"/>
                              <w:rPr/>
                            </w:pPr>
                            <w:r>
                              <w:rPr/>
                              <w:t>Прием и регистрация заявки с прилагаемыми документами</w:t>
                            </w:r>
                          </w:p>
                        </w:txbxContent>
                      </wps:txbx>
                      <wps:bodyPr anchor="t" lIns="91440" tIns="45720" rIns="91440" bIns="45720">
                        <a:noAutofit/>
                      </wps:bodyPr>
                    </wps:wsp>
                  </a:graphicData>
                </a:graphic>
              </wp:anchor>
            </w:drawing>
          </mc:Choice>
          <mc:Fallback>
            <w:pict>
              <v:rect fillcolor="#FFFFFF" strokecolor="#000000" strokeweight="0pt" style="position:absolute;rotation:0;width:644.25pt;height:21pt;mso-wrap-distance-left:9pt;mso-wrap-distance-right:9pt;mso-wrap-distance-top:0pt;mso-wrap-distance-bottom:0pt;margin-top:9.95pt;mso-position-vertical-relative:text;margin-left:71.55pt;mso-position-horizontal-relative:text">
                <v:textbox>
                  <w:txbxContent>
                    <w:p>
                      <w:pPr>
                        <w:pStyle w:val="Style25"/>
                        <w:jc w:val="center"/>
                        <w:rPr/>
                      </w:pPr>
                      <w:r>
                        <w:rPr/>
                        <w:t>Прием и регистрация заявки с прилагаемыми документами</w:t>
                      </w:r>
                    </w:p>
                  </w:txbxContent>
                </v:textbox>
              </v:rect>
            </w:pict>
          </mc:Fallback>
        </mc:AlternateContent>
      </w:r>
      <w:r>
        <mc:AlternateContent>
          <mc:Choice Requires="wps">
            <w:drawing>
              <wp:anchor behindDoc="0" distT="0" distB="0" distL="114300" distR="114300" simplePos="0" locked="0" layoutInCell="1" allowOverlap="1" relativeHeight="3">
                <wp:simplePos x="0" y="0"/>
                <wp:positionH relativeFrom="column">
                  <wp:posOffset>908685</wp:posOffset>
                </wp:positionH>
                <wp:positionV relativeFrom="paragraph">
                  <wp:posOffset>526415</wp:posOffset>
                </wp:positionV>
                <wp:extent cx="8181975" cy="266700"/>
                <wp:effectExtent l="0" t="0" r="0" b="0"/>
                <wp:wrapNone/>
                <wp:docPr id="15" name=""/>
                <a:graphic xmlns:a="http://schemas.openxmlformats.org/drawingml/2006/main">
                  <a:graphicData uri="http://schemas.microsoft.com/office/word/2010/wordprocessingShape">
                    <wps:wsp>
                      <wps:cNvSpPr txBox="1"/>
                      <wps:spPr>
                        <a:xfrm>
                          <a:off x="0" y="0"/>
                          <a:ext cx="8181975" cy="266700"/>
                        </a:xfrm>
                        <a:prstGeom prst="rect"/>
                        <a:solidFill>
                          <a:srgbClr val="FFFFFF"/>
                        </a:solidFill>
                        <a:ln w="635">
                          <a:solidFill>
                            <a:srgbClr val="000000"/>
                          </a:solidFill>
                        </a:ln>
                      </wps:spPr>
                      <wps:txbx>
                        <w:txbxContent>
                          <w:p>
                            <w:pPr>
                              <w:pStyle w:val="Style25"/>
                              <w:jc w:val="center"/>
                              <w:rPr/>
                            </w:pPr>
                            <w:r>
                              <w:rPr/>
                              <w:t>Рассмотрение заявки с прилагаемыми документами</w:t>
                            </w:r>
                          </w:p>
                        </w:txbxContent>
                      </wps:txbx>
                      <wps:bodyPr anchor="t" lIns="91440" tIns="45720" rIns="91440" bIns="45720">
                        <a:noAutofit/>
                      </wps:bodyPr>
                    </wps:wsp>
                  </a:graphicData>
                </a:graphic>
              </wp:anchor>
            </w:drawing>
          </mc:Choice>
          <mc:Fallback>
            <w:pict>
              <v:rect fillcolor="#FFFFFF" strokecolor="#000000" strokeweight="0pt" style="position:absolute;rotation:0;width:644.25pt;height:21pt;mso-wrap-distance-left:9pt;mso-wrap-distance-right:9pt;mso-wrap-distance-top:0pt;mso-wrap-distance-bottom:0pt;margin-top:41.45pt;mso-position-vertical-relative:text;margin-left:71.55pt;mso-position-horizontal-relative:text">
                <v:textbox>
                  <w:txbxContent>
                    <w:p>
                      <w:pPr>
                        <w:pStyle w:val="Style25"/>
                        <w:jc w:val="center"/>
                        <w:rPr/>
                      </w:pPr>
                      <w:r>
                        <w:rPr/>
                        <w:t>Рассмотрение заявки с прилагаемыми документами</w:t>
                      </w:r>
                    </w:p>
                  </w:txbxContent>
                </v:textbox>
              </v:rect>
            </w:pict>
          </mc:Fallback>
        </mc:AlternateContent>
      </w:r>
      <w:r>
        <mc:AlternateContent>
          <mc:Choice Requires="wps">
            <w:drawing>
              <wp:anchor behindDoc="0" distT="0" distB="0" distL="114300" distR="114300" simplePos="0" locked="0" layoutInCell="1" allowOverlap="1" relativeHeight="4">
                <wp:simplePos x="0" y="0"/>
                <wp:positionH relativeFrom="column">
                  <wp:posOffset>-81915</wp:posOffset>
                </wp:positionH>
                <wp:positionV relativeFrom="paragraph">
                  <wp:posOffset>1012190</wp:posOffset>
                </wp:positionV>
                <wp:extent cx="3276600" cy="742950"/>
                <wp:effectExtent l="0" t="0" r="0" b="0"/>
                <wp:wrapNone/>
                <wp:docPr id="16" name=""/>
                <a:graphic xmlns:a="http://schemas.openxmlformats.org/drawingml/2006/main">
                  <a:graphicData uri="http://schemas.microsoft.com/office/word/2010/wordprocessingShape">
                    <wps:wsp>
                      <wps:cNvSpPr txBox="1"/>
                      <wps:spPr>
                        <a:xfrm>
                          <a:off x="0" y="0"/>
                          <a:ext cx="3276600" cy="742950"/>
                        </a:xfrm>
                        <a:prstGeom prst="rect"/>
                        <a:solidFill>
                          <a:srgbClr val="FFFFFF"/>
                        </a:solidFill>
                        <a:ln w="635">
                          <a:solidFill>
                            <a:srgbClr val="000000"/>
                          </a:solidFill>
                        </a:ln>
                      </wps:spPr>
                      <wps:txbx>
                        <w:txbxContent>
                          <w:p>
                            <w:pPr>
                              <w:pStyle w:val="Style25"/>
                              <w:jc w:val="center"/>
                              <w:rPr/>
                            </w:pPr>
                            <w:r>
                              <w:rPr>
                                <w:sz w:val="22"/>
                                <w:szCs w:val="22"/>
                              </w:rPr>
                              <w:t>Для заявителя, который является победителем аукциона по продаже права на заключение договора о закреплении доли квоты добычи (вылова) водных биоресурсов</w:t>
                            </w:r>
                          </w:p>
                        </w:txbxContent>
                      </wps:txbx>
                      <wps:bodyPr anchor="t" lIns="91440" tIns="45720" rIns="91440" bIns="45720">
                        <a:noAutofit/>
                      </wps:bodyPr>
                    </wps:wsp>
                  </a:graphicData>
                </a:graphic>
              </wp:anchor>
            </w:drawing>
          </mc:Choice>
          <mc:Fallback>
            <w:pict>
              <v:rect fillcolor="#FFFFFF" strokecolor="#000000" strokeweight="0pt" style="position:absolute;rotation:0;width:258pt;height:58.5pt;mso-wrap-distance-left:9pt;mso-wrap-distance-right:9pt;mso-wrap-distance-top:0pt;mso-wrap-distance-bottom:0pt;margin-top:79.7pt;mso-position-vertical-relative:text;margin-left:-6.45pt;mso-position-horizontal-relative:text">
                <v:textbox>
                  <w:txbxContent>
                    <w:p>
                      <w:pPr>
                        <w:pStyle w:val="Style25"/>
                        <w:jc w:val="center"/>
                        <w:rPr/>
                      </w:pPr>
                      <w:r>
                        <w:rPr>
                          <w:sz w:val="22"/>
                          <w:szCs w:val="22"/>
                        </w:rPr>
                        <w:t>Для заявителя, который является победителем аукциона по продаже права на заключение договора о закреплении доли квоты добычи (вылова) водных биоресурсов</w:t>
                      </w:r>
                    </w:p>
                  </w:txbxContent>
                </v:textbox>
              </v:rect>
            </w:pict>
          </mc:Fallback>
        </mc:AlternateContent>
      </w:r>
      <w:r>
        <mc:AlternateContent>
          <mc:Choice Requires="wps">
            <w:drawing>
              <wp:anchor behindDoc="0" distT="0" distB="0" distL="114300" distR="114300" simplePos="0" locked="0" layoutInCell="1" allowOverlap="1" relativeHeight="5">
                <wp:simplePos x="0" y="0"/>
                <wp:positionH relativeFrom="column">
                  <wp:posOffset>3337560</wp:posOffset>
                </wp:positionH>
                <wp:positionV relativeFrom="paragraph">
                  <wp:posOffset>1012190</wp:posOffset>
                </wp:positionV>
                <wp:extent cx="3415030" cy="1406525"/>
                <wp:effectExtent l="0" t="0" r="0" b="0"/>
                <wp:wrapNone/>
                <wp:docPr id="17" name=""/>
                <a:graphic xmlns:a="http://schemas.openxmlformats.org/drawingml/2006/main">
                  <a:graphicData uri="http://schemas.microsoft.com/office/word/2010/wordprocessingShape">
                    <wps:wsp>
                      <wps:cNvSpPr txBox="1"/>
                      <wps:spPr>
                        <a:xfrm>
                          <a:off x="0" y="0"/>
                          <a:ext cx="3415030" cy="1406525"/>
                        </a:xfrm>
                        <a:prstGeom prst="rect"/>
                        <a:solidFill>
                          <a:srgbClr val="FFFFFF"/>
                        </a:solidFill>
                        <a:ln w="635">
                          <a:solidFill>
                            <a:srgbClr val="000000"/>
                          </a:solidFill>
                        </a:ln>
                      </wps:spPr>
                      <wps:txbx>
                        <w:txbxContent>
                          <w:p>
                            <w:pPr>
                              <w:pStyle w:val="Style25"/>
                              <w:jc w:val="center"/>
                              <w:rPr/>
                            </w:pPr>
                            <w:r>
                              <w:rPr>
                                <w:sz w:val="22"/>
                                <w:szCs w:val="22"/>
                              </w:rPr>
                              <w:t>Для заявителя, который претендует на заключение договора о закреплении долей квот добычи (вылова) водных биологических ресурсов в случае включения вида водных биоресурсов в определенном районе их добычи (вылова) во внутреннем водном объекте в перечень видов водных биоресурсов, в отношении которых устанавливается общий допустимый улов водных биоресурсов</w:t>
                            </w:r>
                          </w:p>
                        </w:txbxContent>
                      </wps:txbx>
                      <wps:bodyPr anchor="t" lIns="91440" tIns="45720" rIns="91440" bIns="45720">
                        <a:noAutofit/>
                      </wps:bodyPr>
                    </wps:wsp>
                  </a:graphicData>
                </a:graphic>
              </wp:anchor>
            </w:drawing>
          </mc:Choice>
          <mc:Fallback>
            <w:pict>
              <v:rect fillcolor="#FFFFFF" strokecolor="#000000" strokeweight="0pt" style="position:absolute;rotation:0;width:268.9pt;height:110.75pt;mso-wrap-distance-left:9pt;mso-wrap-distance-right:9pt;mso-wrap-distance-top:0pt;mso-wrap-distance-bottom:0pt;margin-top:79.7pt;mso-position-vertical-relative:text;margin-left:262.8pt;mso-position-horizontal-relative:text">
                <v:textbox>
                  <w:txbxContent>
                    <w:p>
                      <w:pPr>
                        <w:pStyle w:val="Style25"/>
                        <w:jc w:val="center"/>
                        <w:rPr/>
                      </w:pPr>
                      <w:r>
                        <w:rPr>
                          <w:sz w:val="22"/>
                          <w:szCs w:val="22"/>
                        </w:rPr>
                        <w:t>Для заявителя, который претендует на заключение договора о закреплении долей квот добычи (вылова) водных биологических ресурсов в случае включения вида водных биоресурсов в определенном районе их добычи (вылова) во внутреннем водном объекте в перечень видов водных биоресурсов, в отношении которых устанавливается общий допустимый улов водных биоресурсов</w:t>
                      </w:r>
                    </w:p>
                  </w:txbxContent>
                </v:textbox>
              </v:rect>
            </w:pict>
          </mc:Fallback>
        </mc:AlternateContent>
      </w:r>
      <w:r>
        <mc:AlternateContent>
          <mc:Choice Requires="wps">
            <w:drawing>
              <wp:anchor behindDoc="0" distT="0" distB="0" distL="114300" distR="114300" simplePos="0" locked="0" layoutInCell="1" allowOverlap="1" relativeHeight="6">
                <wp:simplePos x="0" y="0"/>
                <wp:positionH relativeFrom="column">
                  <wp:posOffset>6943090</wp:posOffset>
                </wp:positionH>
                <wp:positionV relativeFrom="paragraph">
                  <wp:posOffset>1012190</wp:posOffset>
                </wp:positionV>
                <wp:extent cx="3138170" cy="1333500"/>
                <wp:effectExtent l="0" t="0" r="0" b="0"/>
                <wp:wrapNone/>
                <wp:docPr id="18" name=""/>
                <a:graphic xmlns:a="http://schemas.openxmlformats.org/drawingml/2006/main">
                  <a:graphicData uri="http://schemas.microsoft.com/office/word/2010/wordprocessingShape">
                    <wps:wsp>
                      <wps:cNvSpPr txBox="1"/>
                      <wps:spPr>
                        <a:xfrm>
                          <a:off x="0" y="0"/>
                          <a:ext cx="3138170" cy="1333500"/>
                        </a:xfrm>
                        <a:prstGeom prst="rect"/>
                        <a:solidFill>
                          <a:srgbClr val="FFFFFF"/>
                        </a:solidFill>
                        <a:ln w="635">
                          <a:solidFill>
                            <a:srgbClr val="000000"/>
                          </a:solidFill>
                        </a:ln>
                      </wps:spPr>
                      <wps:txbx>
                        <w:txbxContent>
                          <w:p>
                            <w:pPr>
                              <w:pStyle w:val="Style25"/>
                              <w:jc w:val="center"/>
                              <w:rPr/>
                            </w:pPr>
                            <w:r>
                              <w:rPr>
                                <w:sz w:val="22"/>
                                <w:szCs w:val="22"/>
                              </w:rPr>
                              <w:t>Для заявителя, который претендует на заключение договора о закреплении долей квот добычи (вылова) водных биологических ресурсов, в случае истечения срока действия договоров о закреплении доли квоты добычи (вылова) водных биоресурсов во внутреннем водном объекте</w:t>
                            </w:r>
                          </w:p>
                        </w:txbxContent>
                      </wps:txbx>
                      <wps:bodyPr anchor="t" lIns="91440" tIns="45720" rIns="91440" bIns="45720">
                        <a:noAutofit/>
                      </wps:bodyPr>
                    </wps:wsp>
                  </a:graphicData>
                </a:graphic>
              </wp:anchor>
            </w:drawing>
          </mc:Choice>
          <mc:Fallback>
            <w:pict>
              <v:rect fillcolor="#FFFFFF" strokecolor="#000000" strokeweight="0pt" style="position:absolute;rotation:0;width:247.1pt;height:105pt;mso-wrap-distance-left:9pt;mso-wrap-distance-right:9pt;mso-wrap-distance-top:0pt;mso-wrap-distance-bottom:0pt;margin-top:79.7pt;mso-position-vertical-relative:text;margin-left:546.7pt;mso-position-horizontal-relative:text">
                <v:textbox>
                  <w:txbxContent>
                    <w:p>
                      <w:pPr>
                        <w:pStyle w:val="Style25"/>
                        <w:jc w:val="center"/>
                        <w:rPr/>
                      </w:pPr>
                      <w:r>
                        <w:rPr>
                          <w:sz w:val="22"/>
                          <w:szCs w:val="22"/>
                        </w:rPr>
                        <w:t>Для заявителя, который претендует на заключение договора о закреплении долей квот добычи (вылова) водных биологических ресурсов, в случае истечения срока действия договоров о закреплении доли квоты добычи (вылова) водных биоресурсов во внутреннем водном объекте</w:t>
                      </w:r>
                    </w:p>
                  </w:txbxContent>
                </v:textbox>
              </v:rect>
            </w:pict>
          </mc:Fallback>
        </mc:AlternateContent>
      </w:r>
      <w:r>
        <mc:AlternateContent>
          <mc:Choice Requires="wps">
            <w:drawing>
              <wp:anchor behindDoc="0" distT="0" distB="0" distL="114300" distR="114300" simplePos="0" locked="0" layoutInCell="1" allowOverlap="1" relativeHeight="7">
                <wp:simplePos x="0" y="0"/>
                <wp:positionH relativeFrom="column">
                  <wp:posOffset>3337560</wp:posOffset>
                </wp:positionH>
                <wp:positionV relativeFrom="paragraph">
                  <wp:posOffset>2542540</wp:posOffset>
                </wp:positionV>
                <wp:extent cx="3415030" cy="419100"/>
                <wp:effectExtent l="0" t="0" r="0" b="0"/>
                <wp:wrapNone/>
                <wp:docPr id="19" name=""/>
                <a:graphic xmlns:a="http://schemas.openxmlformats.org/drawingml/2006/main">
                  <a:graphicData uri="http://schemas.microsoft.com/office/word/2010/wordprocessingShape">
                    <wps:wsp>
                      <wps:cNvSpPr txBox="1"/>
                      <wps:spPr>
                        <a:xfrm>
                          <a:off x="0" y="0"/>
                          <a:ext cx="3415030" cy="419100"/>
                        </a:xfrm>
                        <a:prstGeom prst="rect"/>
                        <a:solidFill>
                          <a:srgbClr val="FFFFFF"/>
                        </a:solidFill>
                        <a:ln w="635">
                          <a:solidFill>
                            <a:srgbClr val="000000"/>
                          </a:solidFill>
                        </a:ln>
                      </wps:spPr>
                      <wps:txbx>
                        <w:txbxContent>
                          <w:p>
                            <w:pPr>
                              <w:pStyle w:val="Style25"/>
                              <w:jc w:val="center"/>
                              <w:rPr/>
                            </w:pPr>
                            <w:r>
                              <w:rPr>
                                <w:sz w:val="22"/>
                                <w:szCs w:val="22"/>
                              </w:rPr>
                              <w:t>Расчет доли квоты добычи (вылова) водных биоресурсов во внутреннем водном объекте</w:t>
                            </w:r>
                          </w:p>
                        </w:txbxContent>
                      </wps:txbx>
                      <wps:bodyPr anchor="t" lIns="91440" tIns="45720" rIns="91440" bIns="45720">
                        <a:noAutofit/>
                      </wps:bodyPr>
                    </wps:wsp>
                  </a:graphicData>
                </a:graphic>
              </wp:anchor>
            </w:drawing>
          </mc:Choice>
          <mc:Fallback>
            <w:pict>
              <v:rect fillcolor="#FFFFFF" strokecolor="#000000" strokeweight="0pt" style="position:absolute;rotation:0;width:268.9pt;height:33pt;mso-wrap-distance-left:9pt;mso-wrap-distance-right:9pt;mso-wrap-distance-top:0pt;mso-wrap-distance-bottom:0pt;margin-top:200.2pt;mso-position-vertical-relative:text;margin-left:262.8pt;mso-position-horizontal-relative:text">
                <v:textbox>
                  <w:txbxContent>
                    <w:p>
                      <w:pPr>
                        <w:pStyle w:val="Style25"/>
                        <w:jc w:val="center"/>
                        <w:rPr/>
                      </w:pPr>
                      <w:r>
                        <w:rPr>
                          <w:sz w:val="22"/>
                          <w:szCs w:val="22"/>
                        </w:rPr>
                        <w:t>Расчет доли квоты добычи (вылова) водных биоресурсов во внутреннем водном объекте</w:t>
                      </w:r>
                    </w:p>
                  </w:txbxContent>
                </v:textbox>
              </v:rect>
            </w:pict>
          </mc:Fallback>
        </mc:AlternateContent>
      </w:r>
      <w:r>
        <mc:AlternateContent>
          <mc:Choice Requires="wps">
            <w:drawing>
              <wp:anchor behindDoc="0" distT="0" distB="0" distL="114300" distR="114300" simplePos="0" locked="0" layoutInCell="1" allowOverlap="1" relativeHeight="8">
                <wp:simplePos x="0" y="0"/>
                <wp:positionH relativeFrom="column">
                  <wp:posOffset>6943090</wp:posOffset>
                </wp:positionH>
                <wp:positionV relativeFrom="paragraph">
                  <wp:posOffset>2599690</wp:posOffset>
                </wp:positionV>
                <wp:extent cx="1299845" cy="1914525"/>
                <wp:effectExtent l="0" t="0" r="0" b="0"/>
                <wp:wrapNone/>
                <wp:docPr id="20" name=""/>
                <a:graphic xmlns:a="http://schemas.openxmlformats.org/drawingml/2006/main">
                  <a:graphicData uri="http://schemas.microsoft.com/office/word/2010/wordprocessingShape">
                    <wps:wsp>
                      <wps:cNvSpPr txBox="1"/>
                      <wps:spPr>
                        <a:xfrm>
                          <a:off x="0" y="0"/>
                          <a:ext cx="1299845" cy="1914525"/>
                        </a:xfrm>
                        <a:prstGeom prst="rect"/>
                        <a:solidFill>
                          <a:srgbClr val="FFFFFF"/>
                        </a:solidFill>
                        <a:ln w="635">
                          <a:solidFill>
                            <a:srgbClr val="000000"/>
                          </a:solidFill>
                        </a:ln>
                      </wps:spPr>
                      <wps:txbx>
                        <w:txbxContent>
                          <w:p>
                            <w:pPr>
                              <w:pStyle w:val="Style25"/>
                              <w:jc w:val="center"/>
                              <w:rPr/>
                            </w:pPr>
                            <w:r>
                              <w:rPr>
                                <w:sz w:val="22"/>
                                <w:szCs w:val="22"/>
                              </w:rPr>
                              <w:t>Вручение или направление заявителю проекта договора о закреплении долей квот добычи (вылова) водных биологических ресурсов</w:t>
                            </w:r>
                          </w:p>
                        </w:txbxContent>
                      </wps:txbx>
                      <wps:bodyPr anchor="t" lIns="91440" tIns="45720" rIns="91440" bIns="45720">
                        <a:noAutofit/>
                      </wps:bodyPr>
                    </wps:wsp>
                  </a:graphicData>
                </a:graphic>
              </wp:anchor>
            </w:drawing>
          </mc:Choice>
          <mc:Fallback>
            <w:pict>
              <v:rect fillcolor="#FFFFFF" strokecolor="#000000" strokeweight="0pt" style="position:absolute;rotation:0;width:102.35pt;height:150.75pt;mso-wrap-distance-left:9pt;mso-wrap-distance-right:9pt;mso-wrap-distance-top:0pt;mso-wrap-distance-bottom:0pt;margin-top:204.7pt;mso-position-vertical-relative:text;margin-left:546.7pt;mso-position-horizontal-relative:text">
                <v:textbox>
                  <w:txbxContent>
                    <w:p>
                      <w:pPr>
                        <w:pStyle w:val="Style25"/>
                        <w:jc w:val="center"/>
                        <w:rPr/>
                      </w:pPr>
                      <w:r>
                        <w:rPr>
                          <w:sz w:val="22"/>
                          <w:szCs w:val="22"/>
                        </w:rPr>
                        <w:t>Вручение или направление заявителю проекта договора о закреплении долей квот добычи (вылова) водных биологических ресурсов</w:t>
                      </w:r>
                    </w:p>
                  </w:txbxContent>
                </v:textbox>
              </v:rect>
            </w:pict>
          </mc:Fallback>
        </mc:AlternateContent>
      </w:r>
      <w:r>
        <mc:AlternateContent>
          <mc:Choice Requires="wps">
            <w:drawing>
              <wp:anchor behindDoc="0" distT="0" distB="0" distL="114300" distR="114300" simplePos="0" locked="0" layoutInCell="1" allowOverlap="1" relativeHeight="9">
                <wp:simplePos x="0" y="0"/>
                <wp:positionH relativeFrom="column">
                  <wp:posOffset>1456690</wp:posOffset>
                </wp:positionH>
                <wp:positionV relativeFrom="paragraph">
                  <wp:posOffset>2126615</wp:posOffset>
                </wp:positionV>
                <wp:extent cx="1737995" cy="2095500"/>
                <wp:effectExtent l="0" t="0" r="0" b="0"/>
                <wp:wrapNone/>
                <wp:docPr id="21" name=""/>
                <a:graphic xmlns:a="http://schemas.openxmlformats.org/drawingml/2006/main">
                  <a:graphicData uri="http://schemas.microsoft.com/office/word/2010/wordprocessingShape">
                    <wps:wsp>
                      <wps:cNvSpPr txBox="1"/>
                      <wps:spPr>
                        <a:xfrm>
                          <a:off x="0" y="0"/>
                          <a:ext cx="1737995" cy="2095500"/>
                        </a:xfrm>
                        <a:prstGeom prst="rect"/>
                        <a:solidFill>
                          <a:srgbClr val="FFFFFF"/>
                        </a:solidFill>
                        <a:ln w="635">
                          <a:solidFill>
                            <a:srgbClr val="000000"/>
                          </a:solidFill>
                        </a:ln>
                      </wps:spPr>
                      <wps:txbx>
                        <w:txbxContent>
                          <w:p>
                            <w:pPr>
                              <w:pStyle w:val="Style25"/>
                              <w:jc w:val="center"/>
                              <w:rPr/>
                            </w:pPr>
                            <w:r>
                              <w:rPr>
                                <w:sz w:val="22"/>
                                <w:szCs w:val="22"/>
                              </w:rPr>
                              <w:t>Вручение или направление подписанного председателем Комитета уведомления об отказе в заключении договора о закреплении долей квот добычи (вылова) водных биологических ресурсов</w:t>
                            </w:r>
                          </w:p>
                        </w:txbxContent>
                      </wps:txbx>
                      <wps:bodyPr anchor="t" lIns="91440" tIns="45720" rIns="91440" bIns="45720">
                        <a:noAutofit/>
                      </wps:bodyPr>
                    </wps:wsp>
                  </a:graphicData>
                </a:graphic>
              </wp:anchor>
            </w:drawing>
          </mc:Choice>
          <mc:Fallback>
            <w:pict>
              <v:rect fillcolor="#FFFFFF" strokecolor="#000000" strokeweight="0pt" style="position:absolute;rotation:0;width:136.85pt;height:165pt;mso-wrap-distance-left:9pt;mso-wrap-distance-right:9pt;mso-wrap-distance-top:0pt;mso-wrap-distance-bottom:0pt;margin-top:167.45pt;mso-position-vertical-relative:text;margin-left:114.7pt;mso-position-horizontal-relative:text">
                <v:textbox>
                  <w:txbxContent>
                    <w:p>
                      <w:pPr>
                        <w:pStyle w:val="Style25"/>
                        <w:jc w:val="center"/>
                        <w:rPr/>
                      </w:pPr>
                      <w:r>
                        <w:rPr>
                          <w:sz w:val="22"/>
                          <w:szCs w:val="22"/>
                        </w:rPr>
                        <w:t>Вручение или направление подписанного председателем Комитета уведомления об отказе в заключении договора о закреплении долей квот добычи (вылова) водных биологических ресурсов</w:t>
                      </w:r>
                    </w:p>
                  </w:txbxContent>
                </v:textbox>
              </v:rect>
            </w:pict>
          </mc:Fallback>
        </mc:AlternateContent>
      </w:r>
      <w:r>
        <mc:AlternateContent>
          <mc:Choice Requires="wps">
            <w:drawing>
              <wp:anchor behindDoc="0" distT="0" distB="0" distL="114300" distR="114300" simplePos="0" locked="0" layoutInCell="1" allowOverlap="1" relativeHeight="10">
                <wp:simplePos x="0" y="0"/>
                <wp:positionH relativeFrom="column">
                  <wp:posOffset>-177165</wp:posOffset>
                </wp:positionH>
                <wp:positionV relativeFrom="paragraph">
                  <wp:posOffset>2126615</wp:posOffset>
                </wp:positionV>
                <wp:extent cx="1533525" cy="2143125"/>
                <wp:effectExtent l="0" t="0" r="0" b="0"/>
                <wp:wrapNone/>
                <wp:docPr id="22" name=""/>
                <a:graphic xmlns:a="http://schemas.openxmlformats.org/drawingml/2006/main">
                  <a:graphicData uri="http://schemas.microsoft.com/office/word/2010/wordprocessingShape">
                    <wps:wsp>
                      <wps:cNvSpPr txBox="1"/>
                      <wps:spPr>
                        <a:xfrm>
                          <a:off x="0" y="0"/>
                          <a:ext cx="1533525" cy="2143125"/>
                        </a:xfrm>
                        <a:prstGeom prst="rect"/>
                        <a:solidFill>
                          <a:srgbClr val="FFFFFF"/>
                        </a:solidFill>
                        <a:ln w="635">
                          <a:solidFill>
                            <a:srgbClr val="000000"/>
                          </a:solidFill>
                        </a:ln>
                      </wps:spPr>
                      <wps:txbx>
                        <w:txbxContent>
                          <w:p>
                            <w:pPr>
                              <w:pStyle w:val="Style25"/>
                              <w:jc w:val="center"/>
                              <w:rPr/>
                            </w:pPr>
                            <w:r>
                              <w:rPr>
                                <w:sz w:val="22"/>
                                <w:szCs w:val="22"/>
                              </w:rPr>
                              <w:t>Вручение или направление заявителю проекта договора о закреплении долей квот добычи (вылова) водных биологических ресурсов</w:t>
                            </w:r>
                          </w:p>
                        </w:txbxContent>
                      </wps:txbx>
                      <wps:bodyPr anchor="t" lIns="91440" tIns="45720" rIns="91440" bIns="45720">
                        <a:noAutofit/>
                      </wps:bodyPr>
                    </wps:wsp>
                  </a:graphicData>
                </a:graphic>
              </wp:anchor>
            </w:drawing>
          </mc:Choice>
          <mc:Fallback>
            <w:pict>
              <v:rect fillcolor="#FFFFFF" strokecolor="#000000" strokeweight="0pt" style="position:absolute;rotation:0;width:120.75pt;height:168.75pt;mso-wrap-distance-left:9pt;mso-wrap-distance-right:9pt;mso-wrap-distance-top:0pt;mso-wrap-distance-bottom:0pt;margin-top:167.45pt;mso-position-vertical-relative:text;margin-left:-13.95pt;mso-position-horizontal-relative:text">
                <v:textbox>
                  <w:txbxContent>
                    <w:p>
                      <w:pPr>
                        <w:pStyle w:val="Style25"/>
                        <w:jc w:val="center"/>
                        <w:rPr/>
                      </w:pPr>
                      <w:r>
                        <w:rPr>
                          <w:sz w:val="22"/>
                          <w:szCs w:val="22"/>
                        </w:rPr>
                        <w:t>Вручение или направление заявителю проекта договора о закреплении долей квот добычи (вылова) водных биологических ресурсов</w:t>
                      </w:r>
                    </w:p>
                  </w:txbxContent>
                </v:textbox>
              </v:rect>
            </w:pict>
          </mc:Fallback>
        </mc:AlternateContent>
      </w:r>
      <w:r>
        <mc:AlternateContent>
          <mc:Choice Requires="wps">
            <w:drawing>
              <wp:anchor behindDoc="0" distT="0" distB="0" distL="114300" distR="114300" simplePos="0" locked="0" layoutInCell="1" allowOverlap="1" relativeHeight="11">
                <wp:simplePos x="0" y="0"/>
                <wp:positionH relativeFrom="column">
                  <wp:posOffset>8533765</wp:posOffset>
                </wp:positionH>
                <wp:positionV relativeFrom="paragraph">
                  <wp:posOffset>2599690</wp:posOffset>
                </wp:positionV>
                <wp:extent cx="1547495" cy="2235200"/>
                <wp:effectExtent l="0" t="0" r="0" b="0"/>
                <wp:wrapNone/>
                <wp:docPr id="23" name=""/>
                <a:graphic xmlns:a="http://schemas.openxmlformats.org/drawingml/2006/main">
                  <a:graphicData uri="http://schemas.microsoft.com/office/word/2010/wordprocessingShape">
                    <wps:wsp>
                      <wps:cNvSpPr txBox="1"/>
                      <wps:spPr>
                        <a:xfrm>
                          <a:off x="0" y="0"/>
                          <a:ext cx="1547495" cy="2235200"/>
                        </a:xfrm>
                        <a:prstGeom prst="rect"/>
                        <a:solidFill>
                          <a:srgbClr val="FFFFFF"/>
                        </a:solidFill>
                        <a:ln w="635">
                          <a:solidFill>
                            <a:srgbClr val="000000"/>
                          </a:solidFill>
                        </a:ln>
                      </wps:spPr>
                      <wps:txbx>
                        <w:txbxContent>
                          <w:p>
                            <w:pPr>
                              <w:pStyle w:val="Style25"/>
                              <w:jc w:val="center"/>
                              <w:rPr/>
                            </w:pPr>
                            <w:r>
                              <w:rPr>
                                <w:sz w:val="22"/>
                                <w:szCs w:val="22"/>
                              </w:rPr>
                              <w:t>Вручение или направление подписанного председателем Комитета уведомления об отказе в заключении договора о закреплении долей квот добычи (вылова) водных биологических ресурсов</w:t>
                            </w:r>
                          </w:p>
                        </w:txbxContent>
                      </wps:txbx>
                      <wps:bodyPr anchor="t" lIns="91440" tIns="45720" rIns="91440" bIns="45720">
                        <a:noAutofit/>
                      </wps:bodyPr>
                    </wps:wsp>
                  </a:graphicData>
                </a:graphic>
              </wp:anchor>
            </w:drawing>
          </mc:Choice>
          <mc:Fallback>
            <w:pict>
              <v:rect fillcolor="#FFFFFF" strokecolor="#000000" strokeweight="0pt" style="position:absolute;rotation:0;width:121.85pt;height:176pt;mso-wrap-distance-left:9pt;mso-wrap-distance-right:9pt;mso-wrap-distance-top:0pt;mso-wrap-distance-bottom:0pt;margin-top:204.7pt;mso-position-vertical-relative:text;margin-left:671.95pt;mso-position-horizontal-relative:text">
                <v:textbox>
                  <w:txbxContent>
                    <w:p>
                      <w:pPr>
                        <w:pStyle w:val="Style25"/>
                        <w:jc w:val="center"/>
                        <w:rPr/>
                      </w:pPr>
                      <w:r>
                        <w:rPr>
                          <w:sz w:val="22"/>
                          <w:szCs w:val="22"/>
                        </w:rPr>
                        <w:t>Вручение или направление подписанного председателем Комитета уведомления об отказе в заключении договора о закреплении долей квот добычи (вылова) водных биологических ресурсов</w:t>
                      </w:r>
                    </w:p>
                  </w:txbxContent>
                </v:textbox>
              </v:rect>
            </w:pict>
          </mc:Fallback>
        </mc:AlternateContent>
      </w:r>
      <w:r>
        <mc:AlternateContent>
          <mc:Choice Requires="wps">
            <w:drawing>
              <wp:anchor behindDoc="0" distT="0" distB="0" distL="114300" distR="114300" simplePos="0" locked="0" layoutInCell="1" allowOverlap="1" relativeHeight="12">
                <wp:simplePos x="0" y="0"/>
                <wp:positionH relativeFrom="column">
                  <wp:posOffset>3337560</wp:posOffset>
                </wp:positionH>
                <wp:positionV relativeFrom="paragraph">
                  <wp:posOffset>3104515</wp:posOffset>
                </wp:positionV>
                <wp:extent cx="1571625" cy="1914525"/>
                <wp:effectExtent l="0" t="0" r="0" b="0"/>
                <wp:wrapNone/>
                <wp:docPr id="24" name=""/>
                <a:graphic xmlns:a="http://schemas.openxmlformats.org/drawingml/2006/main">
                  <a:graphicData uri="http://schemas.microsoft.com/office/word/2010/wordprocessingShape">
                    <wps:wsp>
                      <wps:cNvSpPr txBox="1"/>
                      <wps:spPr>
                        <a:xfrm>
                          <a:off x="0" y="0"/>
                          <a:ext cx="1571625" cy="1914525"/>
                        </a:xfrm>
                        <a:prstGeom prst="rect"/>
                        <a:solidFill>
                          <a:srgbClr val="FFFFFF"/>
                        </a:solidFill>
                        <a:ln w="635">
                          <a:solidFill>
                            <a:srgbClr val="000000"/>
                          </a:solidFill>
                        </a:ln>
                      </wps:spPr>
                      <wps:txbx>
                        <w:txbxContent>
                          <w:p>
                            <w:pPr>
                              <w:pStyle w:val="Style25"/>
                              <w:jc w:val="center"/>
                              <w:rPr/>
                            </w:pPr>
                            <w:r>
                              <w:rPr>
                                <w:sz w:val="22"/>
                                <w:szCs w:val="22"/>
                              </w:rPr>
                              <w:t>Вручение или направление заявителю проекта договора о закреплении долей квот добычи (вылова) водных биологических ресурсов</w:t>
                            </w:r>
                          </w:p>
                        </w:txbxContent>
                      </wps:txbx>
                      <wps:bodyPr anchor="t" lIns="91440" tIns="45720" rIns="91440" bIns="45720">
                        <a:noAutofit/>
                      </wps:bodyPr>
                    </wps:wsp>
                  </a:graphicData>
                </a:graphic>
              </wp:anchor>
            </w:drawing>
          </mc:Choice>
          <mc:Fallback>
            <w:pict>
              <v:rect fillcolor="#FFFFFF" strokecolor="#000000" strokeweight="0pt" style="position:absolute;rotation:0;width:123.75pt;height:150.75pt;mso-wrap-distance-left:9pt;mso-wrap-distance-right:9pt;mso-wrap-distance-top:0pt;mso-wrap-distance-bottom:0pt;margin-top:244.45pt;mso-position-vertical-relative:text;margin-left:262.8pt;mso-position-horizontal-relative:text">
                <v:textbox>
                  <w:txbxContent>
                    <w:p>
                      <w:pPr>
                        <w:pStyle w:val="Style25"/>
                        <w:jc w:val="center"/>
                        <w:rPr/>
                      </w:pPr>
                      <w:r>
                        <w:rPr>
                          <w:sz w:val="22"/>
                          <w:szCs w:val="22"/>
                        </w:rPr>
                        <w:t>Вручение или направление заявителю проекта договора о закреплении долей квот добычи (вылова) водных биологических ресурсов</w:t>
                      </w:r>
                    </w:p>
                  </w:txbxContent>
                </v:textbox>
              </v:rect>
            </w:pict>
          </mc:Fallback>
        </mc:AlternateContent>
      </w:r>
      <w:r>
        <mc:AlternateContent>
          <mc:Choice Requires="wps">
            <w:drawing>
              <wp:anchor behindDoc="0" distT="0" distB="0" distL="114300" distR="114300" simplePos="0" locked="0" layoutInCell="1" allowOverlap="1" relativeHeight="13">
                <wp:simplePos x="0" y="0"/>
                <wp:positionH relativeFrom="column">
                  <wp:posOffset>5019040</wp:posOffset>
                </wp:positionH>
                <wp:positionV relativeFrom="paragraph">
                  <wp:posOffset>3104515</wp:posOffset>
                </wp:positionV>
                <wp:extent cx="1652270" cy="1914525"/>
                <wp:effectExtent l="0" t="0" r="0" b="0"/>
                <wp:wrapNone/>
                <wp:docPr id="25" name=""/>
                <a:graphic xmlns:a="http://schemas.openxmlformats.org/drawingml/2006/main">
                  <a:graphicData uri="http://schemas.microsoft.com/office/word/2010/wordprocessingShape">
                    <wps:wsp>
                      <wps:cNvSpPr txBox="1"/>
                      <wps:spPr>
                        <a:xfrm>
                          <a:off x="0" y="0"/>
                          <a:ext cx="1652270" cy="1914525"/>
                        </a:xfrm>
                        <a:prstGeom prst="rect"/>
                        <a:solidFill>
                          <a:srgbClr val="FFFFFF"/>
                        </a:solidFill>
                        <a:ln w="635">
                          <a:solidFill>
                            <a:srgbClr val="000000"/>
                          </a:solidFill>
                        </a:ln>
                      </wps:spPr>
                      <wps:txbx>
                        <w:txbxContent>
                          <w:p>
                            <w:pPr>
                              <w:pStyle w:val="Style25"/>
                              <w:jc w:val="center"/>
                              <w:rPr/>
                            </w:pPr>
                            <w:r>
                              <w:rPr>
                                <w:sz w:val="22"/>
                                <w:szCs w:val="22"/>
                              </w:rPr>
                              <w:t>Вручение или направление подписанного председателем Комитета уведомления об отказе в заключении договора о закреплении долей квот добычи (вылова) водных биологических ресурсов</w:t>
                            </w:r>
                          </w:p>
                        </w:txbxContent>
                      </wps:txbx>
                      <wps:bodyPr anchor="t" lIns="91440" tIns="45720" rIns="91440" bIns="45720">
                        <a:noAutofit/>
                      </wps:bodyPr>
                    </wps:wsp>
                  </a:graphicData>
                </a:graphic>
              </wp:anchor>
            </w:drawing>
          </mc:Choice>
          <mc:Fallback>
            <w:pict>
              <v:rect fillcolor="#FFFFFF" strokecolor="#000000" strokeweight="0pt" style="position:absolute;rotation:0;width:130.1pt;height:150.75pt;mso-wrap-distance-left:9pt;mso-wrap-distance-right:9pt;mso-wrap-distance-top:0pt;mso-wrap-distance-bottom:0pt;margin-top:244.45pt;mso-position-vertical-relative:text;margin-left:395.2pt;mso-position-horizontal-relative:text">
                <v:textbox>
                  <w:txbxContent>
                    <w:p>
                      <w:pPr>
                        <w:pStyle w:val="Style25"/>
                        <w:jc w:val="center"/>
                        <w:rPr/>
                      </w:pPr>
                      <w:r>
                        <w:rPr>
                          <w:sz w:val="22"/>
                          <w:szCs w:val="22"/>
                        </w:rPr>
                        <w:t>Вручение или направление подписанного председателем Комитета уведомления об отказе в заключении договора о закреплении долей квот добычи (вылова) водных биологических ресурсов</w:t>
                      </w:r>
                    </w:p>
                  </w:txbxContent>
                </v:textbox>
              </v:rect>
            </w:pict>
          </mc:Fallback>
        </mc:AlternateContent>
      </w:r>
    </w:p>
    <w:sectPr>
      <w:type w:val="nextPage"/>
      <w:pgSz w:orient="landscape" w:w="16838" w:h="11906"/>
      <w:pgMar w:left="624" w:right="1021" w:header="0" w:top="426" w:footer="0" w:bottom="851" w:gutter="0"/>
      <w:pgNumType w:fmt="decimal"/>
      <w:formProt w:val="false"/>
      <w:titlePg/>
      <w:textDirection w:val="lrTb"/>
      <w:docGrid w:type="default" w:linePitch="60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Tahoma">
    <w:charset w:val="cc"/>
    <w:family w:val="roman"/>
    <w:pitch w:val="variable"/>
  </w:font>
  <w:font w:name="Liberation Sans">
    <w:altName w:val="Arial"/>
    <w:charset w:val="cc"/>
    <w:family w:val="swiss"/>
    <w:pitch w:val="variable"/>
  </w:font>
  <w:font w:name="Courier New">
    <w:charset w:val="cc"/>
    <w:family w:val="roman"/>
    <w:pitch w:val="variable"/>
  </w:font>
  <w:font w:name="Arial">
    <w:charset w:val="cc"/>
    <w:family w:val="roman"/>
    <w:pitch w:val="variable"/>
  </w:font>
</w:fonts>
</file>

<file path=word/settings.xml><?xml version="1.0" encoding="utf-8"?>
<w:settings xmlns:w="http://schemas.openxmlformats.org/wordprocessingml/2006/main">
  <w:zoom w:percent="100"/>
  <w:defaultTabStop w:val="708"/>
  <w:autoHyphenation w:val="false"/>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ae7d7c"/>
    <w:pPr>
      <w:widowControl/>
      <w:suppressAutoHyphens w:val="true"/>
      <w:bidi w:val="0"/>
      <w:spacing w:lineRule="auto" w:line="240" w:before="0" w:after="0"/>
      <w:jc w:val="left"/>
    </w:pPr>
    <w:rPr>
      <w:rFonts w:ascii="Times New Roman" w:hAnsi="Times New Roman" w:eastAsia="Times New Roman" w:cs="Times New Roman"/>
      <w:color w:val="auto"/>
      <w:sz w:val="24"/>
      <w:szCs w:val="24"/>
      <w:lang w:eastAsia="ar-SA" w:val="ru-RU" w:bidi="ar-SA"/>
    </w:rPr>
  </w:style>
  <w:style w:type="character" w:styleId="DefaultParagraphFont" w:default="1">
    <w:name w:val="Default Paragraph Font"/>
    <w:uiPriority w:val="1"/>
    <w:semiHidden/>
    <w:unhideWhenUsed/>
    <w:qFormat/>
    <w:rPr/>
  </w:style>
  <w:style w:type="character" w:styleId="Style14" w:customStyle="1">
    <w:name w:val="Текст выноски Знак"/>
    <w:basedOn w:val="DefaultParagraphFont"/>
    <w:link w:val="a3"/>
    <w:uiPriority w:val="99"/>
    <w:semiHidden/>
    <w:qFormat/>
    <w:rsid w:val="006e40d2"/>
    <w:rPr>
      <w:rFonts w:ascii="Tahoma" w:hAnsi="Tahoma" w:eastAsia="Times New Roman" w:cs="Tahoma"/>
      <w:sz w:val="16"/>
      <w:szCs w:val="16"/>
      <w:lang w:eastAsia="ar-SA"/>
    </w:rPr>
  </w:style>
  <w:style w:type="character" w:styleId="Style15" w:customStyle="1">
    <w:name w:val="Верхний колонтитул Знак"/>
    <w:basedOn w:val="DefaultParagraphFont"/>
    <w:link w:val="a5"/>
    <w:uiPriority w:val="99"/>
    <w:semiHidden/>
    <w:qFormat/>
    <w:rsid w:val="00cf1db2"/>
    <w:rPr>
      <w:rFonts w:ascii="Times New Roman" w:hAnsi="Times New Roman" w:eastAsia="Times New Roman" w:cs="Times New Roman"/>
      <w:sz w:val="24"/>
      <w:szCs w:val="24"/>
      <w:lang w:eastAsia="ar-SA"/>
    </w:rPr>
  </w:style>
  <w:style w:type="character" w:styleId="Style16" w:customStyle="1">
    <w:name w:val="Нижний колонтитул Знак"/>
    <w:basedOn w:val="DefaultParagraphFont"/>
    <w:link w:val="a7"/>
    <w:uiPriority w:val="99"/>
    <w:semiHidden/>
    <w:qFormat/>
    <w:rsid w:val="00cf1db2"/>
    <w:rPr>
      <w:rFonts w:ascii="Times New Roman" w:hAnsi="Times New Roman" w:eastAsia="Times New Roman" w:cs="Times New Roman"/>
      <w:sz w:val="24"/>
      <w:szCs w:val="24"/>
      <w:lang w:eastAsia="ar-SA"/>
    </w:rPr>
  </w:style>
  <w:style w:type="character" w:styleId="Style17">
    <w:name w:val="Интернет-ссылка"/>
    <w:basedOn w:val="DefaultParagraphFont"/>
    <w:uiPriority w:val="99"/>
    <w:unhideWhenUsed/>
    <w:rsid w:val="008c58e3"/>
    <w:rPr>
      <w:color w:val="0000FF"/>
      <w:u w:val="single"/>
    </w:rPr>
  </w:style>
  <w:style w:type="paragraph" w:styleId="Style18">
    <w:name w:val="Заголовок"/>
    <w:basedOn w:val="Normal"/>
    <w:next w:val="Style19"/>
    <w:qFormat/>
    <w:pPr>
      <w:keepNext/>
      <w:spacing w:before="240" w:after="120"/>
    </w:pPr>
    <w:rPr>
      <w:rFonts w:ascii="Liberation Sans" w:hAnsi="Liberation Sans" w:eastAsia="Arial Unicode MS" w:cs="Mangal"/>
      <w:sz w:val="28"/>
      <w:szCs w:val="28"/>
    </w:rPr>
  </w:style>
  <w:style w:type="paragraph" w:styleId="Style19">
    <w:name w:val="Body Text"/>
    <w:basedOn w:val="Normal"/>
    <w:pPr>
      <w:spacing w:lineRule="auto" w:line="288" w:before="0" w:after="140"/>
    </w:pPr>
    <w:rPr/>
  </w:style>
  <w:style w:type="paragraph" w:styleId="Style20">
    <w:name w:val="List"/>
    <w:basedOn w:val="Style19"/>
    <w:pPr/>
    <w:rPr>
      <w:rFonts w:cs="Mangal"/>
    </w:rPr>
  </w:style>
  <w:style w:type="paragraph" w:styleId="Style21">
    <w:name w:val="Caption"/>
    <w:basedOn w:val="Normal"/>
    <w:qFormat/>
    <w:pPr>
      <w:suppressLineNumbers/>
      <w:spacing w:before="120" w:after="120"/>
    </w:pPr>
    <w:rPr>
      <w:rFonts w:cs="Mangal"/>
      <w:i/>
      <w:iCs/>
      <w:sz w:val="24"/>
      <w:szCs w:val="24"/>
    </w:rPr>
  </w:style>
  <w:style w:type="paragraph" w:styleId="Style22">
    <w:name w:val="Указатель"/>
    <w:basedOn w:val="Normal"/>
    <w:qFormat/>
    <w:pPr>
      <w:suppressLineNumbers/>
    </w:pPr>
    <w:rPr>
      <w:rFonts w:cs="Mangal"/>
    </w:rPr>
  </w:style>
  <w:style w:type="paragraph" w:styleId="ConsPlusNormal" w:customStyle="1">
    <w:name w:val="ConsPlusNormal"/>
    <w:qFormat/>
    <w:rsid w:val="007661b8"/>
    <w:pPr>
      <w:widowControl w:val="false"/>
      <w:bidi w:val="0"/>
      <w:spacing w:lineRule="auto" w:line="240" w:before="0" w:after="0"/>
      <w:jc w:val="left"/>
    </w:pPr>
    <w:rPr>
      <w:rFonts w:ascii="Calibri" w:hAnsi="Calibri" w:eastAsia="Times New Roman" w:cs="Calibri" w:asciiTheme="minorHAnsi" w:hAnsiTheme="minorHAnsi"/>
      <w:color w:val="auto"/>
      <w:sz w:val="24"/>
      <w:szCs w:val="20"/>
      <w:lang w:eastAsia="ru-RU" w:val="ru-RU" w:bidi="ar-SA"/>
    </w:rPr>
  </w:style>
  <w:style w:type="paragraph" w:styleId="ConsPlusNonformat" w:customStyle="1">
    <w:name w:val="ConsPlusNonformat"/>
    <w:qFormat/>
    <w:rsid w:val="007661b8"/>
    <w:pPr>
      <w:widowControl w:val="false"/>
      <w:bidi w:val="0"/>
      <w:spacing w:lineRule="auto" w:line="240" w:before="0" w:after="0"/>
      <w:jc w:val="left"/>
    </w:pPr>
    <w:rPr>
      <w:rFonts w:ascii="Courier New" w:hAnsi="Courier New" w:eastAsia="Times New Roman" w:cs="Courier New"/>
      <w:color w:val="auto"/>
      <w:sz w:val="20"/>
      <w:szCs w:val="20"/>
      <w:lang w:eastAsia="ru-RU" w:val="ru-RU" w:bidi="ar-SA"/>
    </w:rPr>
  </w:style>
  <w:style w:type="paragraph" w:styleId="ConsPlusTitle" w:customStyle="1">
    <w:name w:val="ConsPlusTitle"/>
    <w:qFormat/>
    <w:rsid w:val="007661b8"/>
    <w:pPr>
      <w:widowControl w:val="false"/>
      <w:bidi w:val="0"/>
      <w:spacing w:lineRule="auto" w:line="240" w:before="0" w:after="0"/>
      <w:jc w:val="left"/>
    </w:pPr>
    <w:rPr>
      <w:rFonts w:ascii="Calibri" w:hAnsi="Calibri" w:eastAsia="Times New Roman" w:cs="Calibri" w:asciiTheme="minorHAnsi" w:hAnsiTheme="minorHAnsi"/>
      <w:b/>
      <w:color w:val="auto"/>
      <w:sz w:val="24"/>
      <w:szCs w:val="20"/>
      <w:lang w:eastAsia="ru-RU" w:val="ru-RU" w:bidi="ar-SA"/>
    </w:rPr>
  </w:style>
  <w:style w:type="paragraph" w:styleId="ConsPlusCell" w:customStyle="1">
    <w:name w:val="ConsPlusCell"/>
    <w:qFormat/>
    <w:rsid w:val="007661b8"/>
    <w:pPr>
      <w:widowControl w:val="false"/>
      <w:bidi w:val="0"/>
      <w:spacing w:lineRule="auto" w:line="240" w:before="0" w:after="0"/>
      <w:jc w:val="left"/>
    </w:pPr>
    <w:rPr>
      <w:rFonts w:ascii="Courier New" w:hAnsi="Courier New" w:eastAsia="Times New Roman" w:cs="Courier New"/>
      <w:color w:val="auto"/>
      <w:sz w:val="20"/>
      <w:szCs w:val="20"/>
      <w:lang w:eastAsia="ru-RU" w:val="ru-RU" w:bidi="ar-SA"/>
    </w:rPr>
  </w:style>
  <w:style w:type="paragraph" w:styleId="ConsPlusDocList" w:customStyle="1">
    <w:name w:val="ConsPlusDocList"/>
    <w:qFormat/>
    <w:rsid w:val="007661b8"/>
    <w:pPr>
      <w:widowControl w:val="false"/>
      <w:bidi w:val="0"/>
      <w:spacing w:lineRule="auto" w:line="240" w:before="0" w:after="0"/>
      <w:jc w:val="left"/>
    </w:pPr>
    <w:rPr>
      <w:rFonts w:ascii="Courier New" w:hAnsi="Courier New" w:eastAsia="Times New Roman" w:cs="Courier New"/>
      <w:color w:val="auto"/>
      <w:sz w:val="20"/>
      <w:szCs w:val="20"/>
      <w:lang w:eastAsia="ru-RU" w:val="ru-RU" w:bidi="ar-SA"/>
    </w:rPr>
  </w:style>
  <w:style w:type="paragraph" w:styleId="ConsPlusTitlePage" w:customStyle="1">
    <w:name w:val="ConsPlusTitlePage"/>
    <w:qFormat/>
    <w:rsid w:val="007661b8"/>
    <w:pPr>
      <w:widowControl w:val="false"/>
      <w:bidi w:val="0"/>
      <w:spacing w:lineRule="auto" w:line="240" w:before="0" w:after="0"/>
      <w:jc w:val="left"/>
    </w:pPr>
    <w:rPr>
      <w:rFonts w:ascii="Tahoma" w:hAnsi="Tahoma" w:eastAsia="Times New Roman" w:cs="Tahoma"/>
      <w:color w:val="auto"/>
      <w:sz w:val="20"/>
      <w:szCs w:val="20"/>
      <w:lang w:eastAsia="ru-RU" w:val="ru-RU" w:bidi="ar-SA"/>
    </w:rPr>
  </w:style>
  <w:style w:type="paragraph" w:styleId="ConsPlusJurTerm" w:customStyle="1">
    <w:name w:val="ConsPlusJurTerm"/>
    <w:qFormat/>
    <w:rsid w:val="007661b8"/>
    <w:pPr>
      <w:widowControl w:val="false"/>
      <w:bidi w:val="0"/>
      <w:spacing w:lineRule="auto" w:line="240" w:before="0" w:after="0"/>
      <w:jc w:val="left"/>
    </w:pPr>
    <w:rPr>
      <w:rFonts w:ascii="Tahoma" w:hAnsi="Tahoma" w:eastAsia="Times New Roman" w:cs="Tahoma"/>
      <w:color w:val="auto"/>
      <w:sz w:val="26"/>
      <w:szCs w:val="20"/>
      <w:lang w:eastAsia="ru-RU" w:val="ru-RU" w:bidi="ar-SA"/>
    </w:rPr>
  </w:style>
  <w:style w:type="paragraph" w:styleId="ConsPlusTextList" w:customStyle="1">
    <w:name w:val="ConsPlusTextList"/>
    <w:qFormat/>
    <w:rsid w:val="007661b8"/>
    <w:pPr>
      <w:widowControl w:val="false"/>
      <w:bidi w:val="0"/>
      <w:spacing w:lineRule="auto" w:line="240" w:before="0" w:after="0"/>
      <w:jc w:val="left"/>
    </w:pPr>
    <w:rPr>
      <w:rFonts w:ascii="Arial" w:hAnsi="Arial" w:eastAsia="Times New Roman" w:cs="Arial"/>
      <w:color w:val="auto"/>
      <w:sz w:val="20"/>
      <w:szCs w:val="20"/>
      <w:lang w:eastAsia="ru-RU" w:val="ru-RU" w:bidi="ar-SA"/>
    </w:rPr>
  </w:style>
  <w:style w:type="paragraph" w:styleId="BalloonText">
    <w:name w:val="Balloon Text"/>
    <w:basedOn w:val="Normal"/>
    <w:link w:val="a4"/>
    <w:uiPriority w:val="99"/>
    <w:semiHidden/>
    <w:unhideWhenUsed/>
    <w:qFormat/>
    <w:rsid w:val="006e40d2"/>
    <w:pPr/>
    <w:rPr>
      <w:rFonts w:ascii="Tahoma" w:hAnsi="Tahoma" w:cs="Tahoma"/>
      <w:sz w:val="16"/>
      <w:szCs w:val="16"/>
    </w:rPr>
  </w:style>
  <w:style w:type="paragraph" w:styleId="Style23">
    <w:name w:val="Header"/>
    <w:basedOn w:val="Normal"/>
    <w:link w:val="a6"/>
    <w:uiPriority w:val="99"/>
    <w:semiHidden/>
    <w:unhideWhenUsed/>
    <w:rsid w:val="00cf1db2"/>
    <w:pPr>
      <w:tabs>
        <w:tab w:val="center" w:pos="4677" w:leader="none"/>
        <w:tab w:val="right" w:pos="9355" w:leader="none"/>
      </w:tabs>
    </w:pPr>
    <w:rPr/>
  </w:style>
  <w:style w:type="paragraph" w:styleId="Style24">
    <w:name w:val="Footer"/>
    <w:basedOn w:val="Normal"/>
    <w:link w:val="a8"/>
    <w:uiPriority w:val="99"/>
    <w:semiHidden/>
    <w:unhideWhenUsed/>
    <w:rsid w:val="00cf1db2"/>
    <w:pPr>
      <w:tabs>
        <w:tab w:val="center" w:pos="4677" w:leader="none"/>
        <w:tab w:val="right" w:pos="9355" w:leader="none"/>
      </w:tabs>
    </w:pPr>
    <w:rPr/>
  </w:style>
  <w:style w:type="paragraph" w:styleId="ListParagraph">
    <w:name w:val="List Paragraph"/>
    <w:basedOn w:val="Normal"/>
    <w:uiPriority w:val="34"/>
    <w:qFormat/>
    <w:rsid w:val="00bf6e85"/>
    <w:pPr>
      <w:spacing w:before="0" w:after="0"/>
      <w:ind w:left="720" w:hanging="0"/>
      <w:contextualSpacing/>
    </w:pPr>
    <w:rPr/>
  </w:style>
  <w:style w:type="paragraph" w:styleId="Style25">
    <w:name w:val="Содержимое врезки"/>
    <w:basedOn w:val="Normal"/>
    <w:qFormat/>
    <w:pPr/>
    <w:rPr/>
  </w:style>
  <w:style w:type="numbering" w:styleId="NoList" w:default="1">
    <w:name w:val="No List"/>
    <w:uiPriority w:val="99"/>
    <w:semiHidden/>
    <w:unhideWhenUsed/>
    <w:qFormat/>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nalog.ru/rn60/" TargetMode="External"/><Relationship Id="rId4" Type="http://schemas.openxmlformats.org/officeDocument/2006/relationships/hyperlink" Target="http://www.pskov.fas.gov.ru/" TargetMode="External"/><Relationship Id="rId5" Type="http://schemas.openxmlformats.org/officeDocument/2006/relationships/hyperlink" Target="consultantplus://offline/ref=22DE3A3EA6CBBA2BFA0E2F0FD5A2FEB0F588CA10AA6264FD2C033DA79E987594C14378D4508B6C7C21B6031195LDn8J" TargetMode="External"/><Relationship Id="rId6" Type="http://schemas.openxmlformats.org/officeDocument/2006/relationships/hyperlink" Target="consultantplus://offline/ref=22DE3A3EA6CBBA2BFA0E2F0FD5A2FEB0F588CA10AA6264FD2C033DA79E987594C14378D4508B6C7C21B6031195LDn8J" TargetMode="External"/><Relationship Id="rId7" Type="http://schemas.openxmlformats.org/officeDocument/2006/relationships/hyperlink" Target="consultantplus://offline/ref=22DE3A3EA6CBBA2BFA0E2F0FD5A2FEB0F588CA10AA6264FD2C033DA79E987594C14378D4508B6C7C21B6031195LDn8J" TargetMode="External"/><Relationship Id="rId8" Type="http://schemas.openxmlformats.org/officeDocument/2006/relationships/hyperlink" Target="consultantplus://offline/ref=22DE3A3EA6CBBA2BFA0E2F0FD5A2FEB0F588CA10AA6264FD2C033DA79E987594C14378D4508B6C7C21B6031195LDn8J" TargetMode="External"/><Relationship Id="rId9" Type="http://schemas.openxmlformats.org/officeDocument/2006/relationships/image" Target="media/image2.wmf"/><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2C81A6-E326-4680-9373-226E34114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1986</TotalTime>
  <Application>LibreOffice/5.2.2.2$Windows_x86 LibreOffice_project/8f96e87c890bf8fa77463cd4b640a2312823f3ad</Application>
  <Pages>23</Pages>
  <Words>8081</Words>
  <Characters>58402</Characters>
  <CharactersWithSpaces>66202</CharactersWithSpaces>
  <Paragraphs>380</Paragraphs>
  <Company>ГК по природопользованию</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2018-11-02T11:58:00Z</dcterms:created>
  <dc:creator>User</dc:creator>
  <dc:description/>
  <dc:language>ru-RU</dc:language>
  <cp:lastModifiedBy>User</cp:lastModifiedBy>
  <cp:lastPrinted>2018-12-07T06:06:00Z</cp:lastPrinted>
  <dcterms:modified xsi:type="dcterms:W3CDTF">2019-01-17T11:26:00Z</dcterms:modified>
  <cp:revision>123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ГК по природопользованию</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